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00696ddef14a.htm"/>
        <w:bookmarkStart w:id="1" w:name="ksd800696ddef14a"/>
        <w:bookmarkEnd w:id="0"/>
        <w:bookmarkEnd w:id="1"/>
        <w:r>
          <w:rPr>
            <w:rStyle w:val="InternetLink"/>
          </w:rPr>
          <w:t>Table of Contents</w:t>
        </w:r>
      </w:hyperlink>
    </w:p>
    <w:p>
      <w:pPr>
        <w:pStyle w:val="TextBody"/>
        <w:bidi w:val="0"/>
        <w:spacing w:before="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120" w:after="0"/>
        <w:jc w:val="center"/>
        <w:rPr>
          <w:rFonts w:ascii="Times New Roman" w:hAnsi="Times New Roman"/>
          <w:b/>
          <w:sz w:val="28"/>
        </w:rPr>
      </w:pPr>
      <w:r>
        <w:rPr>
          <w:rFonts w:ascii="Times New Roman" w:hAnsi="Times New Roman"/>
          <w:b/>
          <w:sz w:val="28"/>
        </w:rPr>
        <w:t xml:space="preserve">SCHEDULE 14A </w:t>
      </w:r>
    </w:p>
    <w:p>
      <w:pPr>
        <w:pStyle w:val="TextBody"/>
        <w:bidi w:val="0"/>
        <w:spacing w:before="120" w:after="0"/>
        <w:jc w:val="center"/>
        <w:rPr>
          <w:rFonts w:ascii="Times New Roman" w:hAnsi="Times New Roman"/>
          <w:b/>
          <w:sz w:val="20"/>
        </w:rPr>
      </w:pPr>
      <w:r>
        <w:rPr>
          <w:rFonts w:ascii="Times New Roman" w:hAnsi="Times New Roman"/>
          <w:b/>
          <w:sz w:val="20"/>
        </w:rPr>
        <w:t xml:space="preserve">(Rule 14a-101)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PROXY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Pursuant to Section 14(a) of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Exchange Act of 1934 (Amendment No.  ) </w:t>
      </w:r>
    </w:p>
    <w:p>
      <w:pPr>
        <w:pStyle w:val="TextBody"/>
        <w:bidi w:val="0"/>
        <w:spacing w:before="120" w:after="0"/>
        <w:jc w:val="both"/>
        <w:rPr>
          <w:rFonts w:ascii="Times New Roman" w:hAnsi="Times New Roman"/>
          <w:sz w:val="20"/>
        </w:rPr>
      </w:pPr>
      <w:r>
        <w:rPr>
          <w:rFonts w:ascii="Times New Roman" w:hAnsi="Times New Roman"/>
          <w:sz w:val="20"/>
        </w:rPr>
        <w:t xml:space="preserve">Filed by the Registrant ☒ </w:t>
      </w:r>
    </w:p>
    <w:p>
      <w:pPr>
        <w:pStyle w:val="TextBody"/>
        <w:bidi w:val="0"/>
        <w:spacing w:before="120" w:after="0"/>
        <w:jc w:val="both"/>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120" w:after="0"/>
        <w:jc w:val="center"/>
        <w:rPr>
          <w:rFonts w:ascii="Times New Roman" w:hAnsi="Times New Roman"/>
          <w:b/>
          <w:sz w:val="28"/>
        </w:rPr>
      </w:pPr>
      <w:r>
        <w:rPr>
          <w:rFonts w:ascii="Times New Roman" w:hAnsi="Times New Roman"/>
          <w:b/>
          <w:sz w:val="28"/>
        </w:rPr>
        <w:t xml:space="preserve">OUSTER, INC.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center"/>
        <w:tblInd w:w="0" w:type="dxa"/>
        <w:tblLayout w:type="fixed"/>
        <w:tblCellMar>
          <w:top w:w="0" w:type="dxa"/>
          <w:left w:w="0" w:type="dxa"/>
          <w:bottom w:w="0" w:type="dxa"/>
          <w:right w:w="0" w:type="dxa"/>
        </w:tblCellMar>
      </w:tblPr>
      <w:tblGrid>
        <w:gridCol w:w="234"/>
        <w:gridCol w:w="120"/>
        <w:gridCol w:w="9851"/>
      </w:tblGrid>
      <w:tr>
        <w:trPr/>
        <w:tc>
          <w:tcPr>
            <w:tcW w:w="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51"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234" w:type="dxa"/>
            <w:tcBorders/>
            <w:vAlign w:val="center"/>
          </w:tcPr>
          <w:p>
            <w:pPr>
              <w:pStyle w:val="TableContents"/>
              <w:bidi w:val="0"/>
              <w:spacing w:before="0" w:after="283"/>
              <w:jc w:val="left"/>
              <w:rPr>
                <w:sz w:val="4"/>
                <w:szCs w:val="4"/>
              </w:rPr>
            </w:pPr>
            <w:r>
              <w:rPr>
                <w:sz w:val="4"/>
                <w:szCs w:val="4"/>
              </w:rPr>
            </w:r>
          </w:p>
        </w:tc>
        <w:tc>
          <w:tcPr>
            <w:tcW w:w="9971"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985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No fee required.</w:t>
            </w:r>
          </w:p>
        </w:tc>
      </w:tr>
      <w:tr>
        <w:trPr>
          <w:trHeight w:val="75" w:hRule="atLeast"/>
        </w:trPr>
        <w:tc>
          <w:tcPr>
            <w:tcW w:w="234" w:type="dxa"/>
            <w:tcBorders/>
            <w:vAlign w:val="center"/>
          </w:tcPr>
          <w:p>
            <w:pPr>
              <w:pStyle w:val="TableContents"/>
              <w:bidi w:val="0"/>
              <w:spacing w:before="0" w:after="283"/>
              <w:jc w:val="left"/>
              <w:rPr>
                <w:sz w:val="4"/>
                <w:szCs w:val="4"/>
              </w:rPr>
            </w:pPr>
            <w:r>
              <w:rPr>
                <w:sz w:val="4"/>
                <w:szCs w:val="4"/>
              </w:rPr>
            </w:r>
          </w:p>
        </w:tc>
        <w:tc>
          <w:tcPr>
            <w:tcW w:w="9971"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985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Fee paid previously with preliminary materials.</w:t>
            </w:r>
          </w:p>
        </w:tc>
      </w:tr>
      <w:tr>
        <w:trPr>
          <w:trHeight w:val="75" w:hRule="atLeast"/>
        </w:trPr>
        <w:tc>
          <w:tcPr>
            <w:tcW w:w="234" w:type="dxa"/>
            <w:tcBorders/>
            <w:vAlign w:val="center"/>
          </w:tcPr>
          <w:p>
            <w:pPr>
              <w:pStyle w:val="TableContents"/>
              <w:bidi w:val="0"/>
              <w:spacing w:before="0" w:after="283"/>
              <w:jc w:val="left"/>
              <w:rPr>
                <w:sz w:val="4"/>
                <w:szCs w:val="4"/>
              </w:rPr>
            </w:pPr>
            <w:r>
              <w:rPr>
                <w:sz w:val="4"/>
                <w:szCs w:val="4"/>
              </w:rPr>
            </w:r>
          </w:p>
        </w:tc>
        <w:tc>
          <w:tcPr>
            <w:tcW w:w="9971" w:type="dxa"/>
            <w:gridSpan w:val="2"/>
            <w:tcBorders/>
            <w:vAlign w:val="center"/>
          </w:tcPr>
          <w:p>
            <w:pPr>
              <w:pStyle w:val="TableContents"/>
              <w:bidi w:val="0"/>
              <w:spacing w:before="0" w:after="283"/>
              <w:jc w:val="left"/>
              <w:rPr>
                <w:sz w:val="4"/>
                <w:szCs w:val="4"/>
              </w:rPr>
            </w:pPr>
            <w:r>
              <w:rPr>
                <w:sz w:val="4"/>
                <w:szCs w:val="4"/>
              </w:rPr>
            </w:r>
          </w:p>
        </w:tc>
      </w:tr>
      <w:tr>
        <w:trPr/>
        <w:tc>
          <w:tcPr>
            <w:tcW w:w="234" w:type="dxa"/>
            <w:tcBorders/>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985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55575" cy="85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575" cy="8509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64"/>
        </w:rPr>
      </w:pPr>
      <w:r>
        <w:rPr>
          <w:rFonts w:ascii="Times New Roman" w:hAnsi="Times New Roman"/>
          <w:b/>
          <w:sz w:val="64"/>
        </w:rPr>
        <w:t xml:space="preserve">NOTICE &amp; PROXY </w:t>
      </w:r>
    </w:p>
    <w:p>
      <w:pPr>
        <w:pStyle w:val="TextBody"/>
        <w:bidi w:val="0"/>
        <w:spacing w:before="0" w:after="0"/>
        <w:jc w:val="center"/>
        <w:rPr>
          <w:rFonts w:ascii="Times New Roman" w:hAnsi="Times New Roman"/>
          <w:b/>
          <w:sz w:val="64"/>
        </w:rPr>
      </w:pPr>
      <w:r>
        <w:rPr>
          <w:rFonts w:ascii="Times New Roman" w:hAnsi="Times New Roman"/>
          <w:b/>
          <w:sz w:val="64"/>
        </w:rPr>
        <w:t xml:space="preserve">STATEMENT </w:t>
      </w:r>
    </w:p>
    <w:p>
      <w:pPr>
        <w:pStyle w:val="TextBody"/>
        <w:bidi w:val="0"/>
        <w:spacing w:before="360" w:after="0"/>
        <w:jc w:val="center"/>
        <w:rPr>
          <w:rFonts w:ascii="Times New Roman" w:hAnsi="Times New Roman"/>
          <w:b/>
          <w:sz w:val="52"/>
        </w:rPr>
      </w:pPr>
      <w:r>
        <w:rPr>
          <w:rFonts w:ascii="Times New Roman" w:hAnsi="Times New Roman"/>
          <w:b/>
          <w:sz w:val="52"/>
        </w:rPr>
        <w:t xml:space="preserve">Annual Meeting of Stockholders </w:t>
      </w:r>
    </w:p>
    <w:p>
      <w:pPr>
        <w:pStyle w:val="TextBody"/>
        <w:bidi w:val="0"/>
        <w:spacing w:before="240" w:after="0"/>
        <w:jc w:val="center"/>
        <w:rPr>
          <w:rFonts w:ascii="Times New Roman" w:hAnsi="Times New Roman"/>
          <w:sz w:val="18"/>
        </w:rPr>
      </w:pPr>
      <w:r>
        <w:rPr>
          <w:rFonts w:ascii="Times New Roman" w:hAnsi="Times New Roman"/>
          <w:sz w:val="18"/>
        </w:rPr>
        <w:t xml:space="preserve">June 21, 2024 </w:t>
      </w:r>
    </w:p>
    <w:p>
      <w:pPr>
        <w:pStyle w:val="TextBody"/>
        <w:bidi w:val="0"/>
        <w:spacing w:before="0" w:after="0"/>
        <w:jc w:val="center"/>
        <w:rPr>
          <w:rFonts w:ascii="Times New Roman" w:hAnsi="Times New Roman"/>
          <w:sz w:val="18"/>
        </w:rPr>
      </w:pPr>
      <w:r>
        <w:rPr>
          <w:rFonts w:ascii="Times New Roman" w:hAnsi="Times New Roman"/>
          <w:sz w:val="18"/>
        </w:rPr>
        <w:t xml:space="preserve">10:00 a.m. (Pacific Time)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 xml:space="preserve">OUSTER, INC. </w:t>
      </w:r>
    </w:p>
    <w:p>
      <w:pPr>
        <w:pStyle w:val="TextBody"/>
        <w:bidi w:val="0"/>
        <w:spacing w:before="0" w:after="0"/>
        <w:jc w:val="left"/>
        <w:rPr>
          <w:rFonts w:ascii="Times New Roman" w:hAnsi="Times New Roman"/>
          <w:b/>
          <w:sz w:val="18"/>
        </w:rPr>
      </w:pPr>
      <w:r>
        <w:rPr>
          <w:rFonts w:ascii="Times New Roman" w:hAnsi="Times New Roman"/>
          <w:b/>
          <w:sz w:val="18"/>
        </w:rPr>
        <w:t xml:space="preserve">350 TREAT AVENUE, SAN FRANCISCO, CA 94110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18"/>
        </w:rPr>
      </w:pPr>
      <w:r>
        <w:rPr>
          <w:rFonts w:ascii="Times New Roman" w:hAnsi="Times New Roman"/>
          <w:sz w:val="18"/>
        </w:rPr>
        <w:t xml:space="preserve">April 25, 2024 </w:t>
      </w:r>
    </w:p>
    <w:p>
      <w:pPr>
        <w:pStyle w:val="TextBody"/>
        <w:bidi w:val="0"/>
        <w:spacing w:before="240" w:after="0"/>
        <w:jc w:val="both"/>
        <w:rPr>
          <w:rFonts w:ascii="Times New Roman" w:hAnsi="Times New Roman"/>
          <w:sz w:val="18"/>
        </w:rPr>
      </w:pPr>
      <w:r>
        <w:rPr>
          <w:rFonts w:ascii="Times New Roman" w:hAnsi="Times New Roman"/>
          <w:sz w:val="18"/>
        </w:rPr>
        <w:t xml:space="preserve">To Ousters Stockholders: </w:t>
      </w:r>
    </w:p>
    <w:p>
      <w:pPr>
        <w:pStyle w:val="TextBody"/>
        <w:bidi w:val="0"/>
        <w:spacing w:before="120" w:after="0"/>
        <w:jc w:val="both"/>
        <w:rPr>
          <w:rFonts w:ascii="Times New Roman" w:hAnsi="Times New Roman"/>
          <w:sz w:val="18"/>
        </w:rPr>
      </w:pPr>
      <w:r>
        <w:rPr>
          <w:rFonts w:ascii="Times New Roman" w:hAnsi="Times New Roman"/>
          <w:sz w:val="18"/>
        </w:rPr>
        <w:t xml:space="preserve">You are cordially invited to attend the 2024 Annual Meeting of Stockholders (the Annual Meeting) of Ouster, Inc. (Ouster or the Company) to be held on Friday, June 21, 2024 at 10:00 a.m., Pacific Time. Ousters Annual Meeting will be a completely virtual meeting of stockholders, which will be conducted via live webcast. You will be able to attend the virtual Annual Meeting, vote your shares electronically and submit your questions during the Annual Meeting by visiting </w:t>
      </w:r>
      <w:r>
        <w:rPr>
          <w:rFonts w:ascii="Times New Roman" w:hAnsi="Times New Roman"/>
          <w:i/>
          <w:sz w:val="18"/>
        </w:rPr>
        <w:t>www.virtualshareholdermeeting.com/OUST2024</w:t>
      </w:r>
      <w:r>
        <w:rPr>
          <w:rFonts w:ascii="Times New Roman" w:hAnsi="Times New Roman"/>
          <w:sz w:val="18"/>
        </w:rPr>
        <w:t xml:space="preserve">. Utilizing a virtual meeting format will allow stockholders to participate from any location and we expect will lead to increased attendance, improved communications and cost savings for Ousters stockholders and the Company. </w:t>
      </w:r>
    </w:p>
    <w:p>
      <w:pPr>
        <w:pStyle w:val="TextBody"/>
        <w:bidi w:val="0"/>
        <w:spacing w:before="200" w:after="0"/>
        <w:jc w:val="both"/>
        <w:rPr>
          <w:rFonts w:ascii="Times New Roman" w:hAnsi="Times New Roman"/>
          <w:sz w:val="18"/>
        </w:rPr>
      </w:pPr>
      <w:r>
        <w:rPr>
          <w:rFonts w:ascii="Times New Roman" w:hAnsi="Times New Roman"/>
          <w:sz w:val="18"/>
        </w:rPr>
        <w:t xml:space="preserve">The Notice of Meeting and Proxy Statement on the following pages describe the matters to be presented at the Annual Meeting. Details regarding how to attend the Annual Meeting and the business to be conducted at the Annual Meeting are more fully described in the Notice of Annual Meeting and Proxy Statement. </w:t>
      </w:r>
    </w:p>
    <w:p>
      <w:pPr>
        <w:pStyle w:val="TextBody"/>
        <w:bidi w:val="0"/>
        <w:spacing w:before="200" w:after="0"/>
        <w:jc w:val="both"/>
        <w:rPr>
          <w:rFonts w:ascii="Times New Roman" w:hAnsi="Times New Roman"/>
          <w:sz w:val="18"/>
        </w:rPr>
      </w:pPr>
      <w:r>
        <w:rPr>
          <w:rFonts w:ascii="Times New Roman" w:hAnsi="Times New Roman"/>
          <w:sz w:val="18"/>
        </w:rPr>
        <w:t xml:space="preserve">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Ousters Notice of Internet Availability of Proxy Materials, then instructions regarding how you can vote are contained in that notice. If you have received a printed proxy card, then instructions regarding how you can vote are contained on the proxy card. If you decide to attend the Annual Meeting, you will be able to vote your shares electronically during the Annual Meeting, even if you have previously submitted your proxy. </w:t>
      </w:r>
    </w:p>
    <w:p>
      <w:pPr>
        <w:pStyle w:val="TextBody"/>
        <w:bidi w:val="0"/>
        <w:spacing w:before="200" w:after="0"/>
        <w:jc w:val="both"/>
        <w:rPr>
          <w:rFonts w:ascii="Times New Roman" w:hAnsi="Times New Roman"/>
          <w:sz w:val="18"/>
        </w:rPr>
      </w:pPr>
      <w:r>
        <w:rPr>
          <w:rFonts w:ascii="Times New Roman" w:hAnsi="Times New Roman"/>
          <w:sz w:val="18"/>
        </w:rPr>
        <w:t xml:space="preserve">Thank you for your support. </w:t>
      </w:r>
    </w:p>
    <w:p>
      <w:pPr>
        <w:pStyle w:val="TextBody"/>
        <w:bidi w:val="0"/>
        <w:spacing w:before="240" w:after="0"/>
        <w:jc w:val="both"/>
        <w:rPr>
          <w:rFonts w:ascii="Times New Roman" w:hAnsi="Times New Roman"/>
          <w:sz w:val="18"/>
        </w:rPr>
      </w:pPr>
      <w:r>
        <w:rPr>
          <w:rFonts w:ascii="Times New Roman" w:hAnsi="Times New Roman"/>
          <w:sz w:val="18"/>
        </w:rPr>
        <w:t xml:space="preserve">Sincerely,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512445" cy="3949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445" cy="394970"/>
                    </a:xfrm>
                    <a:prstGeom prst="rect">
                      <a:avLst/>
                    </a:prstGeom>
                  </pic:spPr>
                </pic:pic>
              </a:graphicData>
            </a:graphic>
          </wp:inline>
        </w:drawing>
      </w:r>
      <w:r>
        <w:rPr/>
        <w:t xml:space="preserve"> </w:t>
      </w:r>
    </w:p>
    <w:p>
      <w:pPr>
        <w:pStyle w:val="TextBody"/>
        <w:bidi w:val="0"/>
        <w:spacing w:before="200" w:after="0"/>
        <w:jc w:val="both"/>
        <w:rPr>
          <w:rFonts w:ascii="Times New Roman" w:hAnsi="Times New Roman"/>
          <w:sz w:val="18"/>
        </w:rPr>
      </w:pPr>
      <w:r>
        <w:rPr>
          <w:rFonts w:ascii="Times New Roman" w:hAnsi="Times New Roman"/>
          <w:sz w:val="18"/>
        </w:rPr>
        <w:t xml:space="preserve">Theodore L. Tewksbury, Ph.D. </w:t>
      </w:r>
    </w:p>
    <w:p>
      <w:pPr>
        <w:pStyle w:val="TextBody"/>
        <w:bidi w:val="0"/>
        <w:spacing w:before="0" w:after="0"/>
        <w:jc w:val="both"/>
        <w:rPr>
          <w:rFonts w:ascii="Times New Roman" w:hAnsi="Times New Roman"/>
          <w:sz w:val="18"/>
        </w:rPr>
      </w:pPr>
      <w:r>
        <w:rPr>
          <w:rFonts w:ascii="Times New Roman" w:hAnsi="Times New Roman"/>
          <w:sz w:val="18"/>
        </w:rPr>
        <w:t xml:space="preserve">Chair of the Board </w:t>
      </w:r>
    </w:p>
    <w:p>
      <w:pPr>
        <w:pStyle w:val="TextBody"/>
        <w:bidi w:val="0"/>
        <w:spacing w:before="0" w:after="0"/>
        <w:jc w:val="left"/>
        <w:rPr>
          <w:rFonts w:ascii="Times New Roman" w:hAnsi="Times New Roman"/>
          <w:b/>
          <w:sz w:val="18"/>
        </w:rPr>
      </w:pPr>
      <w:r>
        <w:rPr>
          <w:rFonts w:ascii="Times New Roman" w:hAnsi="Times New Roman"/>
          <w:b/>
          <w:sz w:val="18"/>
        </w:rPr>
        <w:t xml:space="preserve">Notice of Annual Meeting of Stockholders </w:t>
      </w:r>
    </w:p>
    <w:p>
      <w:pPr>
        <w:pStyle w:val="TextBody"/>
        <w:bidi w:val="0"/>
        <w:spacing w:before="0" w:after="0"/>
        <w:jc w:val="left"/>
        <w:rPr>
          <w:rFonts w:ascii="Times New Roman" w:hAnsi="Times New Roman"/>
          <w:b/>
          <w:sz w:val="18"/>
        </w:rPr>
      </w:pPr>
      <w:r>
        <w:rPr>
          <w:rFonts w:ascii="Times New Roman" w:hAnsi="Times New Roman"/>
          <w:b/>
          <w:sz w:val="18"/>
        </w:rPr>
        <w:t xml:space="preserve">To be Held on Friday, June 21,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OUSTER, INC. </w:t>
      </w:r>
    </w:p>
    <w:p>
      <w:pPr>
        <w:pStyle w:val="TextBody"/>
        <w:bidi w:val="0"/>
        <w:spacing w:before="0" w:after="0"/>
        <w:jc w:val="left"/>
        <w:rPr>
          <w:rFonts w:ascii="Times New Roman" w:hAnsi="Times New Roman"/>
          <w:b/>
          <w:sz w:val="20"/>
        </w:rPr>
      </w:pPr>
      <w:r>
        <w:rPr>
          <w:rFonts w:ascii="Times New Roman" w:hAnsi="Times New Roman"/>
          <w:b/>
          <w:sz w:val="20"/>
        </w:rPr>
        <w:t xml:space="preserve">350 TREAT AVENUE, SAN FRANCISCO, CA 94110 </w:t>
      </w:r>
    </w:p>
    <w:p>
      <w:pPr>
        <w:pStyle w:val="TextBody"/>
        <w:bidi w:val="0"/>
        <w:spacing w:before="120" w:after="0"/>
        <w:jc w:val="both"/>
        <w:rPr>
          <w:rFonts w:ascii="Times New Roman" w:hAnsi="Times New Roman"/>
          <w:sz w:val="20"/>
        </w:rPr>
      </w:pPr>
      <w:r>
        <w:rPr>
          <w:rFonts w:ascii="Times New Roman" w:hAnsi="Times New Roman"/>
          <w:sz w:val="20"/>
        </w:rPr>
        <w:t xml:space="preserve">The Annual Meeting of Stockholders (the Annual Meeting) of Ouster, Inc., a Delaware corporation (Ouster or the Company), will be held at 10:00 a.m., Pacific Time, on Friday, June 21, 2024. The Annual Meeting will be a completely virtual meeting, which will be conducted via live webcast. You will be able to attend the Annual Meeting electronically and submit your questions during the Annual Meeting by visiting </w:t>
      </w:r>
      <w:r>
        <w:rPr>
          <w:rFonts w:ascii="Times New Roman" w:hAnsi="Times New Roman"/>
          <w:i/>
          <w:sz w:val="20"/>
        </w:rPr>
        <w:t>www.virtualshareholdermeeting.com/OUST2024.</w:t>
      </w:r>
      <w:r>
        <w:rPr>
          <w:rFonts w:ascii="Times New Roman" w:hAnsi="Times New Roman"/>
          <w:sz w:val="20"/>
        </w:rPr>
        <w:t xml:space="preserve"> The Annual Meeting is called for the following purposes: </w:t>
      </w:r>
    </w:p>
    <w:tbl>
      <w:tblPr>
        <w:tblW w:w="5000" w:type="pct"/>
        <w:jc w:val="center"/>
        <w:tblInd w:w="0" w:type="dxa"/>
        <w:tblLayout w:type="fixed"/>
        <w:tblCellMar>
          <w:top w:w="0" w:type="dxa"/>
          <w:left w:w="0" w:type="dxa"/>
          <w:bottom w:w="0" w:type="dxa"/>
          <w:right w:w="0" w:type="dxa"/>
        </w:tblCellMar>
      </w:tblPr>
      <w:tblGrid>
        <w:gridCol w:w="432"/>
        <w:gridCol w:w="122"/>
        <w:gridCol w:w="9651"/>
      </w:tblGrid>
      <w:tr>
        <w:trPr/>
        <w:tc>
          <w:tcPr>
            <w:tcW w:w="4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651" w:type="dxa"/>
            <w:tcBorders/>
            <w:vAlign w:val="center"/>
          </w:tcPr>
          <w:p>
            <w:pPr>
              <w:pStyle w:val="TableContents"/>
              <w:bidi w:val="0"/>
              <w:spacing w:before="0" w:after="283"/>
              <w:jc w:val="left"/>
              <w:rPr>
                <w:sz w:val="4"/>
                <w:szCs w:val="4"/>
              </w:rPr>
            </w:pPr>
            <w:r>
              <w:rPr>
                <w:sz w:val="4"/>
                <w:szCs w:val="4"/>
              </w:rPr>
            </w:r>
          </w:p>
        </w:tc>
      </w:tr>
      <w:tr>
        <w:trPr/>
        <w:tc>
          <w:tcPr>
            <w:tcW w:w="432" w:type="dxa"/>
            <w:tcBorders/>
            <w:vAlign w:val="center"/>
          </w:tcPr>
          <w:p>
            <w:pPr>
              <w:pStyle w:val="TableContents"/>
              <w:bidi w:val="0"/>
              <w:spacing w:before="0" w:after="0"/>
              <w:jc w:val="both"/>
              <w:rPr/>
            </w:pPr>
            <w:r>
              <w:rPr/>
              <w:t> ➊</w:t>
            </w:r>
          </w:p>
        </w:tc>
        <w:tc>
          <w:tcPr>
            <w:tcW w:w="122" w:type="dxa"/>
            <w:tcBorders/>
            <w:vAlign w:val="bottom"/>
          </w:tcPr>
          <w:p>
            <w:pPr>
              <w:pStyle w:val="TableContents"/>
              <w:bidi w:val="0"/>
              <w:spacing w:before="0" w:after="283"/>
              <w:jc w:val="left"/>
              <w:rPr/>
            </w:pPr>
            <w:r>
              <w:rPr/>
              <w:t>  </w:t>
            </w:r>
          </w:p>
        </w:tc>
        <w:tc>
          <w:tcPr>
            <w:tcW w:w="9651"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elect Susan Heystee, Angus Pacala and Theodore L. Tewksbury, Ph.D. as Class III Directors to serve until our 2027 annual meeting of stockholders and until their respective successors shall have been duly elected and qualified;</w:t>
            </w:r>
          </w:p>
        </w:tc>
      </w:tr>
      <w:tr>
        <w:trPr/>
        <w:tc>
          <w:tcPr>
            <w:tcW w:w="432" w:type="dxa"/>
            <w:tcBorders/>
            <w:vAlign w:val="center"/>
          </w:tcPr>
          <w:p>
            <w:pPr>
              <w:pStyle w:val="TableContents"/>
              <w:bidi w:val="0"/>
              <w:spacing w:before="0" w:after="0"/>
              <w:jc w:val="both"/>
              <w:rPr/>
            </w:pPr>
            <w:r>
              <w:rPr/>
              <w:t> ➋</w:t>
            </w:r>
          </w:p>
        </w:tc>
        <w:tc>
          <w:tcPr>
            <w:tcW w:w="122" w:type="dxa"/>
            <w:tcBorders/>
            <w:vAlign w:val="bottom"/>
          </w:tcPr>
          <w:p>
            <w:pPr>
              <w:pStyle w:val="TableContents"/>
              <w:bidi w:val="0"/>
              <w:spacing w:before="0" w:after="283"/>
              <w:jc w:val="left"/>
              <w:rPr/>
            </w:pPr>
            <w:r>
              <w:rPr/>
              <w:t>  </w:t>
            </w:r>
          </w:p>
        </w:tc>
        <w:tc>
          <w:tcPr>
            <w:tcW w:w="9651"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ratify the appointment of PricewaterhouseCoopers LLP as our independent registered public accounting firm for the fiscal year ending December 31, 2024;</w:t>
            </w:r>
          </w:p>
        </w:tc>
      </w:tr>
      <w:tr>
        <w:trPr/>
        <w:tc>
          <w:tcPr>
            <w:tcW w:w="432" w:type="dxa"/>
            <w:tcBorders/>
            <w:vAlign w:val="center"/>
          </w:tcPr>
          <w:p>
            <w:pPr>
              <w:pStyle w:val="TableContents"/>
              <w:bidi w:val="0"/>
              <w:spacing w:before="0" w:after="0"/>
              <w:jc w:val="both"/>
              <w:rPr/>
            </w:pPr>
            <w:r>
              <w:rPr/>
              <w:t> ➌</w:t>
            </w:r>
          </w:p>
        </w:tc>
        <w:tc>
          <w:tcPr>
            <w:tcW w:w="122" w:type="dxa"/>
            <w:tcBorders/>
            <w:vAlign w:val="bottom"/>
          </w:tcPr>
          <w:p>
            <w:pPr>
              <w:pStyle w:val="TableContents"/>
              <w:bidi w:val="0"/>
              <w:spacing w:before="0" w:after="283"/>
              <w:jc w:val="left"/>
              <w:rPr/>
            </w:pPr>
            <w:r>
              <w:rPr/>
              <w:t>  </w:t>
            </w:r>
          </w:p>
        </w:tc>
        <w:tc>
          <w:tcPr>
            <w:tcW w:w="9651"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approve, on an advisory (non-binding) basis, the compensation of our named executive officers;</w:t>
            </w:r>
          </w:p>
        </w:tc>
      </w:tr>
      <w:tr>
        <w:trPr/>
        <w:tc>
          <w:tcPr>
            <w:tcW w:w="432" w:type="dxa"/>
            <w:tcBorders/>
            <w:vAlign w:val="center"/>
          </w:tcPr>
          <w:p>
            <w:pPr>
              <w:pStyle w:val="TableContents"/>
              <w:bidi w:val="0"/>
              <w:spacing w:before="0" w:after="0"/>
              <w:jc w:val="both"/>
              <w:rPr/>
            </w:pPr>
            <w:r>
              <w:rPr/>
              <w:t> ➍</w:t>
            </w:r>
          </w:p>
        </w:tc>
        <w:tc>
          <w:tcPr>
            <w:tcW w:w="122" w:type="dxa"/>
            <w:tcBorders/>
            <w:vAlign w:val="bottom"/>
          </w:tcPr>
          <w:p>
            <w:pPr>
              <w:pStyle w:val="TableContents"/>
              <w:bidi w:val="0"/>
              <w:spacing w:before="0" w:after="283"/>
              <w:jc w:val="left"/>
              <w:rPr/>
            </w:pPr>
            <w:r>
              <w:rPr/>
              <w:t>  </w:t>
            </w:r>
          </w:p>
        </w:tc>
        <w:tc>
          <w:tcPr>
            <w:tcW w:w="9651"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approve the amended and restated 2022 Employee Stock Purchase Plan to increase the number of shares authorized for issuance;</w:t>
            </w:r>
          </w:p>
        </w:tc>
      </w:tr>
      <w:tr>
        <w:trPr/>
        <w:tc>
          <w:tcPr>
            <w:tcW w:w="432" w:type="dxa"/>
            <w:tcBorders/>
            <w:vAlign w:val="center"/>
          </w:tcPr>
          <w:p>
            <w:pPr>
              <w:pStyle w:val="TableContents"/>
              <w:bidi w:val="0"/>
              <w:spacing w:before="0" w:after="0"/>
              <w:jc w:val="both"/>
              <w:rPr/>
            </w:pPr>
            <w:r>
              <w:rPr/>
              <w:t> ➎</w:t>
            </w:r>
          </w:p>
        </w:tc>
        <w:tc>
          <w:tcPr>
            <w:tcW w:w="122" w:type="dxa"/>
            <w:tcBorders/>
            <w:vAlign w:val="bottom"/>
          </w:tcPr>
          <w:p>
            <w:pPr>
              <w:pStyle w:val="TableContents"/>
              <w:bidi w:val="0"/>
              <w:spacing w:before="0" w:after="283"/>
              <w:jc w:val="left"/>
              <w:rPr/>
            </w:pPr>
            <w:r>
              <w:rPr/>
              <w:t>  </w:t>
            </w:r>
          </w:p>
        </w:tc>
        <w:tc>
          <w:tcPr>
            <w:tcW w:w="9651"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approve the Velodyne Lidar, Inc. 2020 Equity Incentive Plan; and</w:t>
            </w:r>
          </w:p>
        </w:tc>
      </w:tr>
      <w:tr>
        <w:trPr/>
        <w:tc>
          <w:tcPr>
            <w:tcW w:w="432" w:type="dxa"/>
            <w:tcBorders/>
            <w:vAlign w:val="center"/>
          </w:tcPr>
          <w:p>
            <w:pPr>
              <w:pStyle w:val="TableContents"/>
              <w:bidi w:val="0"/>
              <w:spacing w:before="0" w:after="0"/>
              <w:jc w:val="both"/>
              <w:rPr/>
            </w:pPr>
            <w:r>
              <w:rPr/>
              <w:t> ➏</w:t>
            </w:r>
          </w:p>
        </w:tc>
        <w:tc>
          <w:tcPr>
            <w:tcW w:w="122" w:type="dxa"/>
            <w:tcBorders/>
            <w:vAlign w:val="bottom"/>
          </w:tcPr>
          <w:p>
            <w:pPr>
              <w:pStyle w:val="TableContents"/>
              <w:bidi w:val="0"/>
              <w:spacing w:before="0" w:after="283"/>
              <w:jc w:val="left"/>
              <w:rPr/>
            </w:pPr>
            <w:r>
              <w:rPr/>
              <w:t>  </w:t>
            </w:r>
          </w:p>
        </w:tc>
        <w:tc>
          <w:tcPr>
            <w:tcW w:w="9651"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transact such other business as may properly come before the Annual Meeting or any continuation, postponement, or adjournment of the Annual Meeting.</w:t>
            </w:r>
          </w:p>
        </w:tc>
      </w:tr>
    </w:tbl>
    <w:p>
      <w:pPr>
        <w:pStyle w:val="TextBody"/>
        <w:bidi w:val="0"/>
        <w:spacing w:before="240" w:after="0"/>
        <w:jc w:val="both"/>
        <w:rPr>
          <w:rFonts w:ascii="Times New Roman" w:hAnsi="Times New Roman"/>
          <w:sz w:val="20"/>
        </w:rPr>
      </w:pPr>
      <w:r>
        <w:rPr>
          <w:rFonts w:ascii="Times New Roman" w:hAnsi="Times New Roman"/>
          <w:sz w:val="20"/>
        </w:rPr>
        <w:t xml:space="preserve">Holders of record of Ousters outstanding shares of common stock at the close of business on April 23, 2024, are entitled to notice of and to vote at the Annual Meeting, or any continuation, postponement or adjournment of the Annual Meeting. A complete list of these stockholders will be open to the examination of any stockholder at our principal executive offices at 350 Treat Avenue, San Francisco, California for a period of 10 days prior to the Annual Meeting. The Annual Meeting may be continued or adjourned from time to time without notice other than by announcement at the Annual Meeting. </w:t>
      </w:r>
    </w:p>
    <w:p>
      <w:pPr>
        <w:pStyle w:val="TextBody"/>
        <w:bidi w:val="0"/>
        <w:spacing w:before="240" w:after="0"/>
        <w:jc w:val="both"/>
        <w:rPr>
          <w:rFonts w:ascii="Times New Roman" w:hAnsi="Times New Roman"/>
          <w:b/>
          <w:sz w:val="20"/>
        </w:rPr>
      </w:pPr>
      <w:r>
        <w:rPr>
          <w:rFonts w:ascii="Times New Roman" w:hAnsi="Times New Roman"/>
          <w:b/>
          <w:sz w:val="20"/>
        </w:rPr>
        <w:t xml:space="preserve">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1050290" cy="4203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0290" cy="420370"/>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Megan Chung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047"/>
        <w:gridCol w:w="207"/>
        <w:gridCol w:w="122"/>
        <w:gridCol w:w="245"/>
        <w:gridCol w:w="67"/>
        <w:gridCol w:w="454"/>
        <w:gridCol w:w="63"/>
      </w:tblGrid>
      <w:tr>
        <w:trPr/>
        <w:tc>
          <w:tcPr>
            <w:tcW w:w="904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4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bookmarkStart w:id="2" w:name="toc"/>
            <w:bookmarkEnd w:id="2"/>
            <w:r>
              <w:rPr>
                <w:rFonts w:ascii="Times New Roman" w:hAnsi="Times New Roman"/>
                <w:b/>
                <w:sz w:val="20"/>
              </w:rPr>
              <w:t>CONTENTS</w:t>
            </w:r>
          </w:p>
        </w:tc>
        <w:tc>
          <w:tcPr>
            <w:tcW w:w="20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Page</w:t>
            </w:r>
          </w:p>
        </w:tc>
        <w:tc>
          <w:tcPr>
            <w:tcW w:w="63" w:type="dxa"/>
            <w:tcBorders/>
            <w:vAlign w:val="bottom"/>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
              <w:r>
                <w:rPr>
                  <w:rStyle w:val="InternetLink"/>
                  <w:rFonts w:ascii="Times New Roman" w:hAnsi="Times New Roman"/>
                  <w:b/>
                  <w:sz w:val="20"/>
                </w:rPr>
                <w:t>PROXY STATEMENT</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
              <w:r>
                <w:rPr>
                  <w:rStyle w:val="InternetLink"/>
                  <w:rFonts w:ascii="Times New Roman" w:hAnsi="Times New Roman"/>
                  <w:sz w:val="20"/>
                </w:rPr>
                <w:t>PROPOSALS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
              <w:r>
                <w:rPr>
                  <w:rStyle w:val="InternetLink"/>
                  <w:rFonts w:ascii="Times New Roman" w:hAnsi="Times New Roman"/>
                  <w:sz w:val="20"/>
                </w:rPr>
                <w:t>RECOMMENDATIONS OF THE BOARD</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
              <w:r>
                <w:rPr>
                  <w:rStyle w:val="InternetLink"/>
                  <w:rFonts w:ascii="Times New Roman" w:hAnsi="Times New Roman"/>
                  <w:sz w:val="20"/>
                </w:rPr>
                <w:t>INFORMATION ABOUT THIS PROXY STATEMENT</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5">
              <w:r>
                <w:rPr>
                  <w:rStyle w:val="InternetLink"/>
                  <w:rFonts w:ascii="Times New Roman" w:hAnsi="Times New Roman"/>
                  <w:b/>
                  <w:sz w:val="20"/>
                </w:rPr>
                <w:t>QUESTIONS AND ANSWERS ABOUT THE 2024 ANNUAL MEETING OF STOCKHOLDERS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4</w:t>
            </w:r>
          </w:p>
        </w:tc>
        <w:tc>
          <w:tcPr>
            <w:tcW w:w="63" w:type="dxa"/>
            <w:tcBorders/>
          </w:tcPr>
          <w:p>
            <w:pPr>
              <w:pStyle w:val="TableContents"/>
              <w:bidi w:val="0"/>
              <w:spacing w:before="0" w:after="283"/>
              <w:jc w:val="left"/>
              <w:rPr/>
            </w:pPr>
            <w:r>
              <w:rPr/>
              <w:t> </w:t>
            </w:r>
          </w:p>
        </w:tc>
      </w:tr>
      <w:tr>
        <w:trPr>
          <w:trHeight w:val="120" w:hRule="atLeast"/>
        </w:trPr>
        <w:tc>
          <w:tcPr>
            <w:tcW w:w="9047"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0"/>
              <w:jc w:val="left"/>
              <w:rPr/>
            </w:pPr>
            <w:hyperlink w:anchor="toc800696_6">
              <w:r>
                <w:rPr>
                  <w:rStyle w:val="InternetLink"/>
                  <w:rFonts w:ascii="Times New Roman" w:hAnsi="Times New Roman"/>
                  <w:b/>
                  <w:sz w:val="20"/>
                </w:rPr>
                <w:t>PROPOSALS TO BE VOTED 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7">
              <w:r>
                <w:rPr>
                  <w:rStyle w:val="InternetLink"/>
                  <w:rFonts w:ascii="Times New Roman" w:hAnsi="Times New Roman"/>
                  <w:sz w:val="20"/>
                </w:rPr>
                <w:t>PROPOSAL 1: ELECTION OF DIRECTORS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8">
              <w:r>
                <w:rPr>
                  <w:rStyle w:val="InternetLink"/>
                  <w:rFonts w:ascii="Times New Roman" w:hAnsi="Times New Roman"/>
                  <w:sz w:val="20"/>
                </w:rPr>
                <w:t>PROPOSAL 2: RATIFICATION OF APPOINTMENT OF INDEPENDENT REGISTERED PUBLIC ACCOUNTING FIRM</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14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9">
              <w:r>
                <w:rPr>
                  <w:rStyle w:val="InternetLink"/>
                  <w:rFonts w:ascii="Times New Roman" w:hAnsi="Times New Roman"/>
                  <w:sz w:val="20"/>
                </w:rPr>
                <w:t>REPORT OF THE AUDIT COMMITTEE OF THE BOARD OF DIRECTORS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0">
              <w:r>
                <w:rPr>
                  <w:rStyle w:val="InternetLink"/>
                  <w:rFonts w:ascii="Times New Roman" w:hAnsi="Times New Roman"/>
                  <w:sz w:val="20"/>
                </w:rPr>
                <w:t>INDEPENDENT REGISTERED PUBLIC ACCOUNTING FIRM FEES AND OTHER MATTERS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1">
              <w:r>
                <w:rPr>
                  <w:rStyle w:val="InternetLink"/>
                  <w:rFonts w:ascii="Times New Roman" w:hAnsi="Times New Roman"/>
                  <w:sz w:val="20"/>
                </w:rPr>
                <w:t>PROPOSAL 3: APPROVAL, ON AN ADVISORY (NON-BINDING) BASIS, OF THE COMPENSATION OF OUR NAMED EXECUTIVE OFFICERS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rHeight w:val="120" w:hRule="atLeast"/>
        </w:trPr>
        <w:tc>
          <w:tcPr>
            <w:tcW w:w="9047"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0"/>
              <w:jc w:val="left"/>
              <w:rPr/>
            </w:pPr>
            <w:hyperlink w:anchor="toc800696_12">
              <w:r>
                <w:rPr>
                  <w:rStyle w:val="InternetLink"/>
                  <w:rFonts w:ascii="Times New Roman" w:hAnsi="Times New Roman"/>
                  <w:b/>
                  <w:sz w:val="20"/>
                </w:rPr>
                <w:t>EXECUTIVE OFFICERS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31</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3">
              <w:r>
                <w:rPr>
                  <w:rStyle w:val="InternetLink"/>
                  <w:rFonts w:ascii="Times New Roman" w:hAnsi="Times New Roman"/>
                  <w:b/>
                  <w:sz w:val="20"/>
                </w:rPr>
                <w:t>CORPORATE GOVERNANCE</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4">
              <w:r>
                <w:rPr>
                  <w:rStyle w:val="InternetLink"/>
                  <w:rFonts w:ascii="Times New Roman" w:hAnsi="Times New Roman"/>
                  <w:sz w:val="20"/>
                </w:rPr>
                <w:t>GENERAL</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5">
              <w:r>
                <w:rPr>
                  <w:rStyle w:val="InternetLink"/>
                  <w:rFonts w:ascii="Times New Roman" w:hAnsi="Times New Roman"/>
                  <w:sz w:val="20"/>
                </w:rPr>
                <w:t>BOARD COMPOSITION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6">
              <w:r>
                <w:rPr>
                  <w:rStyle w:val="InternetLink"/>
                  <w:rFonts w:ascii="Times New Roman" w:hAnsi="Times New Roman"/>
                  <w:sz w:val="20"/>
                </w:rPr>
                <w:t>DIRECTOR INDEPENDENCE</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32</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7">
              <w:r>
                <w:rPr>
                  <w:rStyle w:val="InternetLink"/>
                  <w:rFonts w:ascii="Times New Roman" w:hAnsi="Times New Roman"/>
                  <w:sz w:val="20"/>
                </w:rPr>
                <w:t>DIRECTOR CANDIDATES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sz w:val="4"/>
                <w:szCs w:val="4"/>
              </w:rPr>
            </w:pPr>
            <w:r>
              <w:rPr>
                <w:sz w:val="4"/>
                <w:szCs w:val="4"/>
              </w:rPr>
            </w:r>
          </w:p>
        </w:tc>
        <w:tc>
          <w:tcPr>
            <w:tcW w:w="454"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0"/>
              <w:jc w:val="left"/>
              <w:rPr/>
            </w:pPr>
            <w:hyperlink w:anchor="toc800696_18">
              <w:r>
                <w:rPr>
                  <w:rStyle w:val="InternetLink"/>
                  <w:rFonts w:ascii="Times New Roman" w:hAnsi="Times New Roman"/>
                  <w:sz w:val="20"/>
                </w:rPr>
                <w:t>COMMUNICATIONS FROM INTERESTED PARTIES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33</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19">
              <w:r>
                <w:rPr>
                  <w:rStyle w:val="InternetLink"/>
                  <w:rFonts w:ascii="Times New Roman" w:hAnsi="Times New Roman"/>
                  <w:sz w:val="20"/>
                </w:rPr>
                <w:t>BOARD LEADERSHIP STRUCTURE AND ROLE IN RISK OVERSIGHT</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33</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0">
              <w:r>
                <w:rPr>
                  <w:rStyle w:val="InternetLink"/>
                  <w:rFonts w:ascii="Times New Roman" w:hAnsi="Times New Roman"/>
                  <w:sz w:val="20"/>
                </w:rPr>
                <w:t>EXECUTIVE SESSIONS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1">
              <w:r>
                <w:rPr>
                  <w:rStyle w:val="InternetLink"/>
                  <w:rFonts w:ascii="Times New Roman" w:hAnsi="Times New Roman"/>
                  <w:sz w:val="20"/>
                </w:rPr>
                <w:t>ANTI-HEDGING POLICY</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2">
              <w:r>
                <w:rPr>
                  <w:rStyle w:val="InternetLink"/>
                  <w:rFonts w:ascii="Times New Roman" w:hAnsi="Times New Roman"/>
                  <w:sz w:val="20"/>
                </w:rPr>
                <w:t>CODE OF BUSINESS CONDUCT AND ETHICS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35</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3">
              <w:r>
                <w:rPr>
                  <w:rStyle w:val="InternetLink"/>
                  <w:rFonts w:ascii="Times New Roman" w:hAnsi="Times New Roman"/>
                  <w:sz w:val="20"/>
                </w:rPr>
                <w:t>ATTENDANCE BY MEMBERS OF THE BOARD OF DIRECTORS AT MEETINGS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35</w:t>
            </w:r>
          </w:p>
        </w:tc>
        <w:tc>
          <w:tcPr>
            <w:tcW w:w="63" w:type="dxa"/>
            <w:tcBorders/>
          </w:tcPr>
          <w:p>
            <w:pPr>
              <w:pStyle w:val="TableContents"/>
              <w:bidi w:val="0"/>
              <w:spacing w:before="0" w:after="283"/>
              <w:jc w:val="left"/>
              <w:rPr/>
            </w:pPr>
            <w:r>
              <w:rPr/>
              <w:t> </w:t>
            </w:r>
          </w:p>
        </w:tc>
      </w:tr>
      <w:tr>
        <w:trPr>
          <w:trHeight w:val="120" w:hRule="atLeast"/>
        </w:trPr>
        <w:tc>
          <w:tcPr>
            <w:tcW w:w="9047"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0"/>
              <w:jc w:val="left"/>
              <w:rPr/>
            </w:pPr>
            <w:hyperlink w:anchor="toc800696_24">
              <w:r>
                <w:rPr>
                  <w:rStyle w:val="InternetLink"/>
                  <w:rFonts w:ascii="Times New Roman" w:hAnsi="Times New Roman"/>
                  <w:b/>
                  <w:sz w:val="20"/>
                </w:rPr>
                <w:t>COMMITTEES OF THE BOARD</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35</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5">
              <w:r>
                <w:rPr>
                  <w:rStyle w:val="InternetLink"/>
                  <w:rFonts w:ascii="Times New Roman" w:hAnsi="Times New Roman"/>
                  <w:sz w:val="20"/>
                </w:rPr>
                <w:t>AUDIT COMMITTEE</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36</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6">
              <w:r>
                <w:rPr>
                  <w:rStyle w:val="InternetLink"/>
                  <w:rFonts w:ascii="Times New Roman" w:hAnsi="Times New Roman"/>
                  <w:sz w:val="20"/>
                </w:rPr>
                <w:t>COMPENSATION COMMITTEE</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36</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7">
              <w:r>
                <w:rPr>
                  <w:rStyle w:val="InternetLink"/>
                  <w:rFonts w:ascii="Times New Roman" w:hAnsi="Times New Roman"/>
                  <w:sz w:val="20"/>
                </w:rPr>
                <w:t>NOMINATING AND CORPORATE GOVERNANCE COMMITTEE</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37</w:t>
            </w:r>
          </w:p>
        </w:tc>
        <w:tc>
          <w:tcPr>
            <w:tcW w:w="63" w:type="dxa"/>
            <w:tcBorders/>
          </w:tcPr>
          <w:p>
            <w:pPr>
              <w:pStyle w:val="TableContents"/>
              <w:bidi w:val="0"/>
              <w:spacing w:before="0" w:after="283"/>
              <w:jc w:val="left"/>
              <w:rPr/>
            </w:pPr>
            <w:r>
              <w:rPr/>
              <w:t> </w:t>
            </w:r>
          </w:p>
        </w:tc>
      </w:tr>
      <w:tr>
        <w:trPr>
          <w:trHeight w:val="120" w:hRule="atLeast"/>
        </w:trPr>
        <w:tc>
          <w:tcPr>
            <w:tcW w:w="9047"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0"/>
              <w:jc w:val="left"/>
              <w:rPr/>
            </w:pPr>
            <w:hyperlink w:anchor="toc800696_28">
              <w:r>
                <w:rPr>
                  <w:rStyle w:val="InternetLink"/>
                  <w:rFonts w:ascii="Times New Roman" w:hAnsi="Times New Roman"/>
                  <w:b/>
                  <w:sz w:val="20"/>
                </w:rPr>
                <w:t>EXECUTIVE COMPENSATION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39</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29">
              <w:r>
                <w:rPr>
                  <w:rStyle w:val="InternetLink"/>
                  <w:rFonts w:ascii="Times New Roman" w:hAnsi="Times New Roman"/>
                  <w:sz w:val="20"/>
                </w:rPr>
                <w:t>EXECUTIVE COMPENSATION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39</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0">
              <w:r>
                <w:rPr>
                  <w:rStyle w:val="InternetLink"/>
                  <w:rFonts w:ascii="Times New Roman" w:hAnsi="Times New Roman"/>
                  <w:sz w:val="20"/>
                </w:rPr>
                <w:t>PAY VERSUS PERFORMANCE</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44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1">
              <w:r>
                <w:rPr>
                  <w:rStyle w:val="InternetLink"/>
                  <w:rFonts w:ascii="Times New Roman" w:hAnsi="Times New Roman"/>
                  <w:b/>
                  <w:sz w:val="20"/>
                </w:rPr>
                <w:t>DIRECTOR COMPENSATION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47</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2">
              <w:r>
                <w:rPr>
                  <w:rStyle w:val="InternetLink"/>
                  <w:rFonts w:ascii="Times New Roman" w:hAnsi="Times New Roman"/>
                  <w:b/>
                  <w:sz w:val="20"/>
                </w:rPr>
                <w:t>EQUITY COMPENSATION PLAN INFORMATION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50</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3">
              <w:r>
                <w:rPr>
                  <w:rStyle w:val="InternetLink"/>
                  <w:rFonts w:ascii="Times New Roman" w:hAnsi="Times New Roman"/>
                  <w:b/>
                  <w:sz w:val="20"/>
                </w:rPr>
                <w:t>SECURITY OWNERSHIP OF CERTAIN BENEFICIAL OWNERS AND MANAGEMENT</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51</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4">
              <w:r>
                <w:rPr>
                  <w:rStyle w:val="InternetLink"/>
                  <w:rFonts w:ascii="Times New Roman" w:hAnsi="Times New Roman"/>
                  <w:b/>
                  <w:sz w:val="20"/>
                </w:rPr>
                <w:t>CERTAIN RELATIONSHIPS AND RELATED PERSON TRANSACTIONS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53</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5">
              <w:r>
                <w:rPr>
                  <w:rStyle w:val="InternetLink"/>
                  <w:rFonts w:ascii="Times New Roman" w:hAnsi="Times New Roman"/>
                  <w:sz w:val="20"/>
                </w:rPr>
                <w:t>POLICIES AND PROCEDURES FOR RELATED PERSON TRANSACTIONS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53</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6">
              <w:r>
                <w:rPr>
                  <w:rStyle w:val="InternetLink"/>
                  <w:rFonts w:ascii="Times New Roman" w:hAnsi="Times New Roman"/>
                  <w:sz w:val="20"/>
                </w:rPr>
                <w:t>TRANSACTIONS RELATED TO DIRECTORS, EQUITY HOLDERS AND EXECUTIVE OFFICERS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53</w:t>
            </w:r>
          </w:p>
        </w:tc>
        <w:tc>
          <w:tcPr>
            <w:tcW w:w="63" w:type="dxa"/>
            <w:tcBorders/>
          </w:tcPr>
          <w:p>
            <w:pPr>
              <w:pStyle w:val="TableContents"/>
              <w:bidi w:val="0"/>
              <w:spacing w:before="0" w:after="283"/>
              <w:jc w:val="left"/>
              <w:rPr/>
            </w:pPr>
            <w:r>
              <w:rPr/>
              <w:t> </w:t>
            </w:r>
          </w:p>
        </w:tc>
      </w:tr>
      <w:tr>
        <w:trPr>
          <w:trHeight w:val="120" w:hRule="atLeast"/>
        </w:trPr>
        <w:tc>
          <w:tcPr>
            <w:tcW w:w="9047" w:type="dxa"/>
            <w:tcBorders/>
            <w:vAlign w:val="center"/>
          </w:tcPr>
          <w:p>
            <w:pPr>
              <w:pStyle w:val="TableContents"/>
              <w:bidi w:val="0"/>
              <w:spacing w:before="0" w:after="283"/>
              <w:jc w:val="left"/>
              <w:rPr>
                <w:sz w:val="4"/>
                <w:szCs w:val="4"/>
              </w:rPr>
            </w:pPr>
            <w:r>
              <w:rPr>
                <w:sz w:val="4"/>
                <w:szCs w:val="4"/>
              </w:rPr>
            </w:r>
          </w:p>
        </w:tc>
        <w:tc>
          <w:tcPr>
            <w:tcW w:w="329" w:type="dxa"/>
            <w:gridSpan w:val="2"/>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0"/>
              <w:jc w:val="left"/>
              <w:rPr/>
            </w:pPr>
            <w:hyperlink w:anchor="toc800696_37">
              <w:r>
                <w:rPr>
                  <w:rStyle w:val="InternetLink"/>
                  <w:rFonts w:ascii="Times New Roman" w:hAnsi="Times New Roman"/>
                  <w:b/>
                  <w:sz w:val="20"/>
                </w:rPr>
                <w:t>OTHER MATTERS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8">
              <w:r>
                <w:rPr>
                  <w:rStyle w:val="InternetLink"/>
                  <w:rFonts w:ascii="Times New Roman" w:hAnsi="Times New Roman"/>
                  <w:sz w:val="20"/>
                </w:rPr>
                <w:t>DELINQUENT SECTION 16(a) REPORTS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39">
              <w:r>
                <w:rPr>
                  <w:rStyle w:val="InternetLink"/>
                  <w:rFonts w:ascii="Times New Roman" w:hAnsi="Times New Roman"/>
                  <w:sz w:val="20"/>
                </w:rPr>
                <w:t>COMPENSATION COMMITTEE INTERLOCKS AND INSIDER PARTICIPATION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0">
              <w:r>
                <w:rPr>
                  <w:rStyle w:val="InternetLink"/>
                  <w:rFonts w:ascii="Times New Roman" w:hAnsi="Times New Roman"/>
                  <w:sz w:val="20"/>
                </w:rPr>
                <w:t>STOCKHOLDERS PROPOSALS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54</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1">
              <w:r>
                <w:rPr>
                  <w:rStyle w:val="InternetLink"/>
                  <w:rFonts w:ascii="Times New Roman" w:hAnsi="Times New Roman"/>
                  <w:sz w:val="20"/>
                </w:rPr>
                <w:t>OTHER MATTERS AT THE ANNUAL MEETING</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55</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2">
              <w:r>
                <w:rPr>
                  <w:rStyle w:val="InternetLink"/>
                  <w:rFonts w:ascii="Times New Roman" w:hAnsi="Times New Roman"/>
                  <w:sz w:val="20"/>
                </w:rPr>
                <w:t>SOLICITATION OF PROXIES</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55</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3">
              <w:r>
                <w:rPr>
                  <w:rStyle w:val="InternetLink"/>
                  <w:rFonts w:ascii="Times New Roman" w:hAnsi="Times New Roman"/>
                  <w:sz w:val="20"/>
                </w:rPr>
                <w:t>OUSTERS ANNUAL REPORT ON FORM 10-K</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55</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4">
              <w:r>
                <w:rPr>
                  <w:rStyle w:val="InternetLink"/>
                  <w:rFonts w:ascii="Times New Roman" w:hAnsi="Times New Roman"/>
                  <w:b/>
                  <w:sz w:val="20"/>
                </w:rPr>
                <w:t>ANNEX AAMENDED AND RESTATED 2022 EMPLOYEE STOCK PURCHASE PLAN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A-1</w:t>
            </w:r>
          </w:p>
        </w:tc>
        <w:tc>
          <w:tcPr>
            <w:tcW w:w="63" w:type="dxa"/>
            <w:tcBorders/>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pPr>
            <w:hyperlink w:anchor="toc800696_45">
              <w:r>
                <w:rPr>
                  <w:rStyle w:val="InternetLink"/>
                  <w:rFonts w:ascii="Times New Roman" w:hAnsi="Times New Roman"/>
                  <w:b/>
                  <w:sz w:val="20"/>
                </w:rPr>
                <w:t>ANNEX BVELODYNE LIDAR, INC. 2020 EQUITY INCENTIVE PLAN</w:t>
              </w:r>
            </w:hyperlink>
          </w:p>
        </w:tc>
        <w:tc>
          <w:tcPr>
            <w:tcW w:w="207" w:type="dxa"/>
            <w:tcBorders/>
            <w:vAlign w:val="bottom"/>
          </w:tcPr>
          <w:p>
            <w:pPr>
              <w:pStyle w:val="TableContents"/>
              <w:bidi w:val="0"/>
              <w:spacing w:before="0" w:after="283"/>
              <w:jc w:val="left"/>
              <w:rPr/>
            </w:pPr>
            <w:r>
              <w:rPr/>
              <w:t> </w:t>
            </w:r>
          </w:p>
        </w:tc>
        <w:tc>
          <w:tcPr>
            <w:tcW w:w="122"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pPr>
            <w:r>
              <w:rPr/>
              <w:t> </w:t>
            </w:r>
          </w:p>
        </w:tc>
        <w:tc>
          <w:tcPr>
            <w:tcW w:w="454" w:type="dxa"/>
            <w:tcBorders/>
          </w:tcPr>
          <w:p>
            <w:pPr>
              <w:pStyle w:val="TableContents"/>
              <w:bidi w:val="0"/>
              <w:spacing w:before="0" w:after="283"/>
              <w:jc w:val="right"/>
              <w:rPr/>
            </w:pPr>
            <w:r>
              <w:rPr/>
              <w:t>B-1</w:t>
            </w:r>
          </w:p>
        </w:tc>
        <w:tc>
          <w:tcPr>
            <w:tcW w:w="63" w:type="dxa"/>
            <w:tcBorders/>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 w:name="toc800696_1"/>
      <w:bookmarkEnd w:id="3"/>
      <w:r>
        <w:rPr>
          <w:rFonts w:ascii="Times New Roman" w:hAnsi="Times New Roman"/>
          <w:b/>
          <w:sz w:val="20"/>
        </w:rPr>
        <w:t xml:space="preserve">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OUSTER, INC. </w:t>
      </w:r>
    </w:p>
    <w:p>
      <w:pPr>
        <w:pStyle w:val="TextBody"/>
        <w:bidi w:val="0"/>
        <w:spacing w:before="0" w:after="0"/>
        <w:jc w:val="left"/>
        <w:rPr>
          <w:rFonts w:ascii="Times New Roman" w:hAnsi="Times New Roman"/>
          <w:sz w:val="20"/>
        </w:rPr>
      </w:pPr>
      <w:r>
        <w:rPr>
          <w:rFonts w:ascii="Times New Roman" w:hAnsi="Times New Roman"/>
          <w:sz w:val="20"/>
        </w:rPr>
        <w:t xml:space="preserve">350 TREAT AVENUE, SAN FRANCISCO, CA 94110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is furnished in connection with the solicitation by the Board of Directors of Ouster, Inc. (Ouster, we, us, or the Company) of proxies to be voted at Ousters Annual Meeting of Stockholders to be held on Friday, June 21, 2024 (the Annual Meeting), at 10:00 a.m., Pacific Time, and at any continuation, postponement, or adjournment of the Annual Meeting. The Annual Meeting will be a completely virtual meeting, which will be conducted via live webcast. You will be able to attend the Annual Meeting and submit your questions during the Annual Meeting by visiting </w:t>
      </w:r>
      <w:r>
        <w:rPr>
          <w:rFonts w:ascii="Times New Roman" w:hAnsi="Times New Roman"/>
          <w:i/>
          <w:sz w:val="20"/>
        </w:rPr>
        <w:t>www.virtualshareholdermeeting.com/OUST2024</w:t>
      </w:r>
      <w:r>
        <w:rPr>
          <w:rFonts w:ascii="Times New Roman" w:hAnsi="Times New Roman"/>
          <w:sz w:val="20"/>
        </w:rPr>
        <w:t xml:space="preserve"> and entering your 16-digit control number included in your Notice of Internet Availability of Proxy Materials, on your proxy card or on the instructions that accompanied your proxy materials. </w:t>
      </w:r>
    </w:p>
    <w:p>
      <w:pPr>
        <w:pStyle w:val="TextBody"/>
        <w:bidi w:val="0"/>
        <w:spacing w:before="240" w:after="0"/>
        <w:jc w:val="both"/>
        <w:rPr>
          <w:rFonts w:ascii="Times New Roman" w:hAnsi="Times New Roman"/>
          <w:sz w:val="20"/>
        </w:rPr>
      </w:pPr>
      <w:r>
        <w:rPr>
          <w:rFonts w:ascii="Times New Roman" w:hAnsi="Times New Roman"/>
          <w:sz w:val="20"/>
        </w:rPr>
        <w:t xml:space="preserve">Holders of record of outstanding shares of common stock at the close of business on April 23, 2024 (the Record Date) will be entitled to notice of and to vote at the Annual Meeting and any continuation, postponement, or adjournment of the Annual Meeting. At the close of business on the Record Date, there were 45,060,877 shares of common stock issued and outstanding and entitled to vote at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and the Companys Annual Report to stockholders for the fiscal year ended December 31, 2023 (the 2023 Annual Report) will be released on or about April 25, 2024 to Ousters stockholders on the Record Date. </w:t>
      </w:r>
    </w:p>
    <w:p>
      <w:pPr>
        <w:pStyle w:val="TextBody"/>
        <w:bidi w:val="0"/>
        <w:spacing w:before="240" w:after="0"/>
        <w:jc w:val="both"/>
        <w:rPr>
          <w:rFonts w:ascii="Times New Roman" w:hAnsi="Times New Roman"/>
          <w:sz w:val="20"/>
        </w:rPr>
      </w:pPr>
      <w:r>
        <w:rPr>
          <w:rFonts w:ascii="Times New Roman" w:hAnsi="Times New Roman"/>
          <w:sz w:val="20"/>
        </w:rPr>
        <w:t xml:space="preserve">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Agreement and Plan of Merger with Velodyne, Merger Sub I and Merger Sub II (the Velodyne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STOCKHOLDER MEETING TO BE HELD ON FRIDAY, JUNE 21, 2024 </w:t>
      </w:r>
    </w:p>
    <w:p>
      <w:pPr>
        <w:pStyle w:val="TextBody"/>
        <w:bidi w:val="0"/>
        <w:spacing w:before="240" w:after="0"/>
        <w:jc w:val="center"/>
        <w:rPr>
          <w:rFonts w:ascii="Times New Roman" w:hAnsi="Times New Roman"/>
          <w:sz w:val="20"/>
        </w:rPr>
      </w:pPr>
      <w:r>
        <w:rPr>
          <w:rFonts w:ascii="Times New Roman" w:hAnsi="Times New Roman"/>
          <w:b/>
          <w:sz w:val="20"/>
        </w:rPr>
        <w:t xml:space="preserve">This Proxy Statement and our 2023 Annual Report to Stockholders are available at </w:t>
      </w:r>
      <w:r>
        <w:rPr>
          <w:rFonts w:ascii="Times New Roman" w:hAnsi="Times New Roman"/>
          <w:b/>
          <w:i/>
          <w:sz w:val="20"/>
        </w:rPr>
        <w:t>http://www.proxyvote.com/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 w:name="toc800696_2"/>
      <w:bookmarkEnd w:id="4"/>
      <w:r>
        <w:rPr>
          <w:rFonts w:ascii="Times New Roman" w:hAnsi="Times New Roman"/>
          <w:b/>
          <w:sz w:val="20"/>
        </w:rPr>
        <w:t xml:space="preserve">PROPOSALS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At the Annual Meeting, our stockholders will be asked: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3"/>
        <w:gridCol w:w="9289"/>
      </w:tblGrid>
      <w:tr>
        <w:trPr/>
        <w:tc>
          <w:tcPr>
            <w:tcW w:w="7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center"/>
          </w:tcPr>
          <w:p>
            <w:pPr>
              <w:pStyle w:val="TableContents"/>
              <w:bidi w:val="0"/>
              <w:spacing w:before="0" w:after="0"/>
              <w:jc w:val="both"/>
              <w:rPr/>
            </w:pPr>
            <w:r>
              <w:rPr/>
              <w:t> ➊</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elect Susan Heystee, Angus Pacala and Theodore L. Tewksbury, Ph.D.as Class III Directors to serve until our 2027 annual meeting of stockholders and until their respective successors shall have been duly elected and qualified;</w:t>
            </w:r>
          </w:p>
        </w:tc>
      </w:tr>
      <w:tr>
        <w:trPr/>
        <w:tc>
          <w:tcPr>
            <w:tcW w:w="713" w:type="dxa"/>
            <w:tcBorders/>
            <w:vAlign w:val="center"/>
          </w:tcPr>
          <w:p>
            <w:pPr>
              <w:pStyle w:val="TableContents"/>
              <w:bidi w:val="0"/>
              <w:spacing w:before="0" w:after="0"/>
              <w:jc w:val="both"/>
              <w:rPr/>
            </w:pPr>
            <w:r>
              <w:rPr/>
              <w:t> ➋</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ratify the appointment of PricewaterhouseCoopers LLP as our independent registered public accounting firm for the fiscal year ending December 31, 2024;</w:t>
            </w:r>
          </w:p>
        </w:tc>
      </w:tr>
      <w:tr>
        <w:trPr/>
        <w:tc>
          <w:tcPr>
            <w:tcW w:w="713" w:type="dxa"/>
            <w:tcBorders/>
            <w:vAlign w:val="center"/>
          </w:tcPr>
          <w:p>
            <w:pPr>
              <w:pStyle w:val="TableContents"/>
              <w:bidi w:val="0"/>
              <w:spacing w:before="0" w:after="0"/>
              <w:jc w:val="both"/>
              <w:rPr/>
            </w:pPr>
            <w:r>
              <w:rPr/>
              <w:t> ➌</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approve, on an advisory (non-binding) basis, the compensation of our named executive officers;</w:t>
            </w:r>
          </w:p>
        </w:tc>
      </w:tr>
      <w:tr>
        <w:trPr/>
        <w:tc>
          <w:tcPr>
            <w:tcW w:w="713" w:type="dxa"/>
            <w:tcBorders/>
            <w:vAlign w:val="center"/>
          </w:tcPr>
          <w:p>
            <w:pPr>
              <w:pStyle w:val="TableContents"/>
              <w:bidi w:val="0"/>
              <w:spacing w:before="0" w:after="0"/>
              <w:jc w:val="both"/>
              <w:rPr/>
            </w:pPr>
            <w:r>
              <w:rPr/>
              <w:t> ➍</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approve the amended and restated 2022 Employee Stock Purchase Plan (the A&amp;R ESPP) to increase the number of shares authorized for issuance;</w:t>
            </w:r>
          </w:p>
        </w:tc>
      </w:tr>
      <w:tr>
        <w:trPr/>
        <w:tc>
          <w:tcPr>
            <w:tcW w:w="713" w:type="dxa"/>
            <w:tcBorders/>
            <w:vAlign w:val="center"/>
          </w:tcPr>
          <w:p>
            <w:pPr>
              <w:pStyle w:val="TableContents"/>
              <w:bidi w:val="0"/>
              <w:spacing w:before="0" w:after="0"/>
              <w:jc w:val="both"/>
              <w:rPr/>
            </w:pPr>
            <w:r>
              <w:rPr/>
              <w:t> ➎</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approve the Velodyne Lidar, Inc. 2020 Equity Incentive Plan; and</w:t>
            </w:r>
          </w:p>
        </w:tc>
      </w:tr>
      <w:tr>
        <w:trPr/>
        <w:tc>
          <w:tcPr>
            <w:tcW w:w="713" w:type="dxa"/>
            <w:tcBorders/>
            <w:vAlign w:val="center"/>
          </w:tcPr>
          <w:p>
            <w:pPr>
              <w:pStyle w:val="TableContents"/>
              <w:bidi w:val="0"/>
              <w:spacing w:before="0" w:after="0"/>
              <w:jc w:val="both"/>
              <w:rPr/>
            </w:pPr>
            <w:r>
              <w:rPr/>
              <w:t> ➏</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To transact such other business as may properly come before the Annual Meeting or any continuation, postponement, or adjournment of the Annual Meeting.</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360" w:after="0"/>
        <w:jc w:val="left"/>
        <w:rPr>
          <w:rFonts w:ascii="Times New Roman" w:hAnsi="Times New Roman"/>
          <w:b/>
          <w:sz w:val="20"/>
        </w:rPr>
      </w:pPr>
      <w:bookmarkStart w:id="5" w:name="toc800696_3"/>
      <w:bookmarkEnd w:id="5"/>
      <w:r>
        <w:rPr>
          <w:rFonts w:ascii="Times New Roman" w:hAnsi="Times New Roman"/>
          <w:b/>
          <w:sz w:val="20"/>
        </w:rPr>
        <w:t xml:space="preserve">RECOMMENDATIONS OF THE BOARD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Companys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3"/>
        <w:gridCol w:w="9289"/>
      </w:tblGrid>
      <w:tr>
        <w:trPr/>
        <w:tc>
          <w:tcPr>
            <w:tcW w:w="7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center"/>
          </w:tcPr>
          <w:p>
            <w:pPr>
              <w:pStyle w:val="TableContents"/>
              <w:bidi w:val="0"/>
              <w:spacing w:before="0" w:after="0"/>
              <w:jc w:val="both"/>
              <w:rPr/>
            </w:pPr>
            <w:r>
              <w:rPr/>
              <w:t> ➊</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FOR the election of each of Susan Heystee, Angus Pacala and Theodore L. Tewksbury, Ph.D. as Class III Directors;</w:t>
            </w:r>
          </w:p>
        </w:tc>
      </w:tr>
      <w:tr>
        <w:trPr/>
        <w:tc>
          <w:tcPr>
            <w:tcW w:w="713" w:type="dxa"/>
            <w:tcBorders/>
            <w:vAlign w:val="center"/>
          </w:tcPr>
          <w:p>
            <w:pPr>
              <w:pStyle w:val="TableContents"/>
              <w:bidi w:val="0"/>
              <w:spacing w:before="0" w:after="0"/>
              <w:jc w:val="both"/>
              <w:rPr/>
            </w:pPr>
            <w:r>
              <w:rPr/>
              <w:t> ➋</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FOR the ratification of the appointment of PricewaterhouseCoopers LLP as our independent registered public accounting firm for the fiscal year ending December 31, 2024;</w:t>
            </w:r>
          </w:p>
        </w:tc>
      </w:tr>
      <w:tr>
        <w:trPr/>
        <w:tc>
          <w:tcPr>
            <w:tcW w:w="713" w:type="dxa"/>
            <w:tcBorders/>
            <w:vAlign w:val="center"/>
          </w:tcPr>
          <w:p>
            <w:pPr>
              <w:pStyle w:val="TableContents"/>
              <w:bidi w:val="0"/>
              <w:spacing w:before="0" w:after="0"/>
              <w:jc w:val="both"/>
              <w:rPr/>
            </w:pPr>
            <w:r>
              <w:rPr/>
              <w:t> ➌</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FOR the approval, on an advisory (non-binding) basis, of the compensation of our named executive officers;</w:t>
            </w:r>
          </w:p>
        </w:tc>
      </w:tr>
      <w:tr>
        <w:trPr/>
        <w:tc>
          <w:tcPr>
            <w:tcW w:w="713" w:type="dxa"/>
            <w:tcBorders/>
            <w:vAlign w:val="center"/>
          </w:tcPr>
          <w:p>
            <w:pPr>
              <w:pStyle w:val="TableContents"/>
              <w:bidi w:val="0"/>
              <w:spacing w:before="0" w:after="0"/>
              <w:jc w:val="both"/>
              <w:rPr/>
            </w:pPr>
            <w:r>
              <w:rPr/>
              <w:t> ➍</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FOR the approval of the A&amp;R ESPP to increase the number of shares authorized for issuance; and</w:t>
            </w:r>
          </w:p>
        </w:tc>
      </w:tr>
      <w:tr>
        <w:trPr/>
        <w:tc>
          <w:tcPr>
            <w:tcW w:w="713" w:type="dxa"/>
            <w:tcBorders/>
            <w:vAlign w:val="center"/>
          </w:tcPr>
          <w:p>
            <w:pPr>
              <w:pStyle w:val="TableContents"/>
              <w:bidi w:val="0"/>
              <w:spacing w:before="0" w:after="0"/>
              <w:jc w:val="both"/>
              <w:rPr/>
            </w:pPr>
            <w:r>
              <w:rPr/>
              <w:t> ➎</w:t>
            </w:r>
          </w:p>
        </w:tc>
        <w:tc>
          <w:tcPr>
            <w:tcW w:w="203" w:type="dxa"/>
            <w:tcBorders/>
            <w:vAlign w:val="bottom"/>
          </w:tcPr>
          <w:p>
            <w:pPr>
              <w:pStyle w:val="TableContents"/>
              <w:bidi w:val="0"/>
              <w:spacing w:before="0" w:after="283"/>
              <w:jc w:val="left"/>
              <w:rPr/>
            </w:pPr>
            <w:r>
              <w:rPr/>
              <w:t>  </w:t>
            </w:r>
          </w:p>
        </w:tc>
        <w:tc>
          <w:tcPr>
            <w:tcW w:w="9289" w:type="dxa"/>
            <w:tcBorders/>
            <w:vAlign w:val="bottom"/>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FOR the approval of the Velodyne Lidar, Inc. 2020 Equity Incentive Plan.</w:t>
            </w:r>
          </w:p>
        </w:tc>
      </w:tr>
    </w:tbl>
    <w:p>
      <w:pPr>
        <w:pStyle w:val="TextBody"/>
        <w:bidi w:val="0"/>
        <w:spacing w:before="360" w:after="0"/>
        <w:jc w:val="left"/>
        <w:rPr>
          <w:rFonts w:ascii="Times New Roman" w:hAnsi="Times New Roman"/>
          <w:b/>
          <w:sz w:val="20"/>
        </w:rPr>
      </w:pPr>
      <w:bookmarkStart w:id="6" w:name="toc800696_4"/>
      <w:bookmarkEnd w:id="6"/>
      <w:r>
        <w:rPr>
          <w:rFonts w:ascii="Times New Roman" w:hAnsi="Times New Roman"/>
          <w:b/>
          <w:sz w:val="20"/>
        </w:rPr>
        <w:t xml:space="preserve">INFORMATION ABOUT THIS PROXY STATEMENT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b/>
          <w:sz w:val="20"/>
        </w:rPr>
        <w:t>Why you received this proxy statement</w:t>
      </w:r>
      <w:r>
        <w:rPr>
          <w:rFonts w:ascii="Times New Roman" w:hAnsi="Times New Roman"/>
          <w:sz w:val="20"/>
        </w:rPr>
        <w:t xml:space="preserve">. You are viewing or have received these proxy materials because Ousters Board is soliciting your proxy to vote your shares at the Annual Meeting. This proxy statement includes information that we are required to provide to you under the rules of the Securities and Exchange Commission (the SEC) and that is designed to assist you in voting your shares. </w:t>
      </w:r>
    </w:p>
    <w:p>
      <w:pPr>
        <w:pStyle w:val="TextBody"/>
        <w:bidi w:val="0"/>
        <w:spacing w:before="240" w:after="0"/>
        <w:jc w:val="both"/>
        <w:rPr>
          <w:rFonts w:ascii="Times New Roman" w:hAnsi="Times New Roman"/>
          <w:sz w:val="20"/>
        </w:rPr>
      </w:pPr>
      <w:r>
        <w:rPr>
          <w:rFonts w:ascii="Times New Roman" w:hAnsi="Times New Roman"/>
          <w:b/>
          <w:sz w:val="20"/>
        </w:rPr>
        <w:t>Notice of Internet Availability of Proxy Materials</w:t>
      </w:r>
      <w:r>
        <w:rPr>
          <w:rFonts w:ascii="Times New Roman" w:hAnsi="Times New Roman"/>
          <w:sz w:val="20"/>
        </w:rPr>
        <w:t xml:space="preserve">. As permitted by SEC rules, Ouster is making this proxy statement and its 2023 Annual Report available to its stockholders electronically via the Internet. On or about April 25, 2024, we mailed to our stockholders a Notice of Internet Availability of Proxy Materials (the Internet Notice) containing instructions on how to access this proxy statement and our 2023 Annual Report and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 </w:t>
      </w:r>
    </w:p>
    <w:p>
      <w:pPr>
        <w:pStyle w:val="TextBody"/>
        <w:bidi w:val="0"/>
        <w:spacing w:before="240" w:after="0"/>
        <w:jc w:val="both"/>
        <w:rPr>
          <w:rFonts w:ascii="Times New Roman" w:hAnsi="Times New Roman"/>
          <w:sz w:val="20"/>
        </w:rPr>
      </w:pPr>
      <w:r>
        <w:rPr>
          <w:rFonts w:ascii="Times New Roman" w:hAnsi="Times New Roman"/>
          <w:b/>
          <w:sz w:val="20"/>
        </w:rPr>
        <w:t>Printed Copies of Our Proxy Materials</w:t>
      </w:r>
      <w:r>
        <w:rPr>
          <w:rFonts w:ascii="Times New Roman" w:hAnsi="Times New Roman"/>
          <w:sz w:val="20"/>
        </w:rPr>
        <w:t xml:space="preserve">. If you received printed copies of our proxy materials, then instructions regarding how you can vote are contained on the proxy card included in the materials. </w:t>
      </w:r>
    </w:p>
    <w:p>
      <w:pPr>
        <w:pStyle w:val="TextBody"/>
        <w:bidi w:val="0"/>
        <w:spacing w:before="240" w:after="0"/>
        <w:jc w:val="both"/>
        <w:rPr>
          <w:rFonts w:ascii="Times New Roman" w:hAnsi="Times New Roman"/>
          <w:sz w:val="20"/>
        </w:rPr>
      </w:pPr>
      <w:r>
        <w:rPr>
          <w:rFonts w:ascii="Times New Roman" w:hAnsi="Times New Roman"/>
          <w:b/>
          <w:sz w:val="20"/>
        </w:rPr>
        <w:t>Householding</w:t>
      </w:r>
      <w:r>
        <w:rPr>
          <w:rFonts w:ascii="Times New Roman" w:hAnsi="Times New Roman"/>
          <w:sz w:val="20"/>
        </w:rPr>
        <w:t xml:space="preserve">. The SECs rules permit us and intermediaries (e.g., brokers, banks and other agents) to deliver a single set of proxy materials to one address shared by two or more of our stockholders. This delivery method is referred to as householding and can result in significant cost savings. To take advantage of this opportunity, we and a number of intermediaries with account holders who are our stockholders have delivered only one set of proxy materials to multiple stockholders who share an address, unless we received contrary instructions from the impacted stockholders prior to the mailing date. A proxy card or voting instruction form will be delivered for each of the stockholders sharing an address.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(866) 540-7095 or in writing at Broadridge Financial Solutions, Inc., Householding Department, 51 Mercedes Way, Edgewood, New York 11717. </w:t>
      </w:r>
    </w:p>
    <w:p>
      <w:pPr>
        <w:pStyle w:val="TextBody"/>
        <w:bidi w:val="0"/>
        <w:spacing w:before="240" w:after="0"/>
        <w:jc w:val="both"/>
        <w:rPr>
          <w:rFonts w:ascii="Times New Roman" w:hAnsi="Times New Roman"/>
          <w:sz w:val="20"/>
        </w:rPr>
      </w:pPr>
      <w:r>
        <w:rPr>
          <w:rFonts w:ascii="Times New Roman" w:hAnsi="Times New Roman"/>
          <w:sz w:val="20"/>
        </w:rPr>
        <w:t xml:space="preserve">If you are currently a stockholder sharing an address with another stockholder and wish to receive only one set of future proxy materials for your household, please contact Broadridge at the above phone number or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7" w:name="toc800696_5"/>
      <w:bookmarkEnd w:id="7"/>
      <w:r>
        <w:rPr>
          <w:rFonts w:ascii="Times New Roman" w:hAnsi="Times New Roman"/>
          <w:b/>
          <w:sz w:val="20"/>
        </w:rPr>
        <w:t xml:space="preserve">QUESTIONS AND ANSWERS ABOUT THE 2024 ANNUAL MEETING OF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WHO IS ENTITLED TO VOTE AT THE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Record Date for the Annual Meeting is April 23, 2024.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common stock entitles its holders to one vote per share on all matters presented to our stockholders at the Annual Meeting. At the close of business on the Record Date, there were 45,060,877 shares of common stock issued and outstanding and entitled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DIFFERENCE BETWEEN BEING A RECORD HOLDER AND HOLDING SHARES IN STREET NAME?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 record holder holds shares in his or her name. Shares held in street name are held in the name of a bank, broker or other agent on a persons behalf. </w:t>
      </w:r>
    </w:p>
    <w:p>
      <w:pPr>
        <w:pStyle w:val="TextBody"/>
        <w:bidi w:val="0"/>
        <w:spacing w:before="360" w:after="0"/>
        <w:jc w:val="left"/>
        <w:rPr>
          <w:rFonts w:ascii="Times New Roman" w:hAnsi="Times New Roman"/>
          <w:b/>
          <w:sz w:val="20"/>
        </w:rPr>
      </w:pPr>
      <w:r>
        <w:rPr>
          <w:rFonts w:ascii="Times New Roman" w:hAnsi="Times New Roman"/>
          <w:b/>
          <w:sz w:val="20"/>
        </w:rPr>
        <w:t xml:space="preserve">AM I ENTITLED TO VOTE IF MY SHARES ARE HELD IN STREET NAME?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Yes. If your shares are held by a bank, broker or other agent, you are considered the beneficial owner of those shares held in street name. If your shares are held in street name, our proxy materials are being provided to you by your bank, broker or other agent, along with a voting instruction card if you received printed copies of our proxy materials. As the beneficial owner, you have the right to direct your bank, broker or other agent how to vote your shares, and the bank, broker or other agent is required to vote your shares in accordance with your instructions. </w:t>
      </w:r>
    </w:p>
    <w:p>
      <w:pPr>
        <w:pStyle w:val="TextBody"/>
        <w:bidi w:val="0"/>
        <w:spacing w:before="240" w:after="0"/>
        <w:jc w:val="both"/>
        <w:rPr>
          <w:rFonts w:ascii="Times New Roman" w:hAnsi="Times New Roman"/>
          <w:sz w:val="20"/>
        </w:rPr>
      </w:pPr>
      <w:r>
        <w:rPr>
          <w:rFonts w:ascii="Times New Roman" w:hAnsi="Times New Roman"/>
          <w:sz w:val="20"/>
        </w:rPr>
        <w:t xml:space="preserve">If your shares are held in street name and you have not received a 16-digit control number, you should contact your bank or broker to obtain your control number or otherwise vote through the bank or broker. If you would like to vote your shares online during the Annual Meeting, your bank or broker will need to provide you with a 16-digit control number.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SHARES MUST BE PRESENT TO HOLD THE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 quorum must be present at the Annual Meeting for any business to be conducted. The presence at the Annual Meeting, represented by remote communication or represented by proxy, of the holders of one third (1/3) in voting power of common stock issued and outstanding and entitled to vote on the Record Date will constitute a quorum. </w:t>
      </w:r>
    </w:p>
    <w:p>
      <w:pPr>
        <w:pStyle w:val="TextBody"/>
        <w:bidi w:val="0"/>
        <w:spacing w:before="360" w:after="0"/>
        <w:jc w:val="left"/>
        <w:rPr>
          <w:rFonts w:ascii="Times New Roman" w:hAnsi="Times New Roman"/>
          <w:b/>
          <w:sz w:val="20"/>
        </w:rPr>
      </w:pPr>
      <w:r>
        <w:rPr>
          <w:rFonts w:ascii="Times New Roman" w:hAnsi="Times New Roman"/>
          <w:b/>
          <w:sz w:val="20"/>
        </w:rPr>
        <w:t xml:space="preserve">WHAT IF A QUORUM IS NOT PRESENT AT THE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If a quorum is not present at the scheduled time of the Annual Meeting, then either (i) the person presiding over the Annual Meeting or (ii) a majority in voting power of the stockholders entitled to vote at the meeting, present by remote communication or represented by proxy, may adjourn the Annual Meeting until a quorum is present or represented.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WHO CAN ATTEND AND VOTE AT THE 2024 ANNUAL MEETING OF STOCKHOLDERS?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You may attend and vote at the Annual Meeting only if you are an Ouster stockholder who is entitled to vote at the Annual Meeting, or if you hold a valid proxy for the Annual Meeting. The Annual Meeting will be held entirely online to allow greater participation. You will be able to attend the Annual Meeting and submit your questions by visiting the following website: </w:t>
      </w:r>
      <w:r>
        <w:rPr>
          <w:rFonts w:ascii="Times New Roman" w:hAnsi="Times New Roman"/>
          <w:i/>
          <w:sz w:val="20"/>
        </w:rPr>
        <w:t>www.virtualshareholdermeeting.com/OUST2024</w:t>
      </w:r>
      <w:r>
        <w:rPr>
          <w:rFonts w:ascii="Times New Roman" w:hAnsi="Times New Roman"/>
          <w:sz w:val="20"/>
        </w:rPr>
        <w:t xml:space="preserve">. You will also be able to vote your shares electronically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participate in the Annual Meeting, you will need the 16-digit control number included in your Internet Notice, on your proxy card or on the instructions that accompanied your proxy materials. The Annual Meeting webcast will begin promptly at 10:00 a.m., Pacific Time. We encourage you to access the Annual Meeting prior to the start time. Online check-in will begin at 9:45 a.m., Pacific Time, and you should allow ample time for check-in procedures. If you hold your shares through a bank or broker, instructions should also be provided on the voting instruction card provided by your bank or brokerage firm. If you lose your 16-digit control number, you may join the Annual Meeting as a Guest, but you will not be able to vote or ask questions. </w:t>
      </w:r>
    </w:p>
    <w:p>
      <w:pPr>
        <w:pStyle w:val="TextBody"/>
        <w:bidi w:val="0"/>
        <w:spacing w:before="360" w:after="0"/>
        <w:jc w:val="left"/>
        <w:rPr>
          <w:rFonts w:ascii="Times New Roman" w:hAnsi="Times New Roman"/>
          <w:b/>
          <w:sz w:val="20"/>
        </w:rPr>
      </w:pPr>
      <w:r>
        <w:rPr>
          <w:rFonts w:ascii="Times New Roman" w:hAnsi="Times New Roman"/>
          <w:b/>
          <w:sz w:val="20"/>
        </w:rPr>
        <w:t xml:space="preserve">WHY IS THE MEETING HELD VIRTUALLY?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hosting a virtual meeting this year is in the best interests of the Company and our stockholders. A virtual meeting enables increased stockholder attendance and participation because stockholders can participate from any location around the world. A virtual meeting can also provide cost savings for our stockholders and us, and it is more environmentally friendly. </w:t>
      </w:r>
    </w:p>
    <w:p>
      <w:pPr>
        <w:pStyle w:val="TextBody"/>
        <w:bidi w:val="0"/>
        <w:spacing w:before="360" w:after="0"/>
        <w:jc w:val="left"/>
        <w:rPr>
          <w:rFonts w:ascii="Times New Roman" w:hAnsi="Times New Roman"/>
          <w:b/>
          <w:sz w:val="20"/>
        </w:rPr>
      </w:pPr>
      <w:r>
        <w:rPr>
          <w:rFonts w:ascii="Times New Roman" w:hAnsi="Times New Roman"/>
          <w:b/>
          <w:sz w:val="20"/>
        </w:rPr>
        <w:t xml:space="preserve">WHAT IF DURING THE CHECK-IN TIME OR DURING THE ANNUAL MEETING I HAVE TECHNICAL DIFFICULTIES OR TROUBLE ACCESSING THE VIRTUAL MEETING WEBSITE?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will have technicians ready to assist you with any technical difficulties you may have accessing the Annual Meeting website. If you encounter any difficulties accessing the Annual Meeting, please call the technical support number that will be posted on the Annual Meeting login page.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INTERNET NOTICE OR MORE THAN ONE SET OF PROXY MATERIALS?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recommend that stockholders vote by proxy even if they plan to participate in the Annual Meeting and vote electronically during the Annual Meeting. If you are a stockholder of record, you may vote by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InternetYou can vote over the Internet at </w:t>
            </w:r>
            <w:r>
              <w:rPr>
                <w:rFonts w:ascii="Times New Roman" w:hAnsi="Times New Roman"/>
                <w:i/>
                <w:sz w:val="20"/>
              </w:rPr>
              <w:t>www.proxyvote.com</w:t>
            </w:r>
            <w:r>
              <w:rPr>
                <w:rFonts w:ascii="Times New Roman" w:hAnsi="Times New Roman"/>
                <w:sz w:val="20"/>
              </w:rPr>
              <w:t xml:space="preserve"> by following the instructions on the Internet Notice or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TelephoneYou can vote by telephone by calling (800) 690-6903 and following the instructions on the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MailYou can vote by mail by signing, dating and mailing the proxy card, which you may have received by mail.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Internet and telephone voting facilities for stockholders of record will be available 24 hours a day and will close at 8:59 p.m., Pacific Time, on June 20, 2024. </w:t>
      </w:r>
    </w:p>
    <w:p>
      <w:pPr>
        <w:pStyle w:val="TextBody"/>
        <w:bidi w:val="0"/>
        <w:spacing w:before="240" w:after="0"/>
        <w:jc w:val="both"/>
        <w:rPr>
          <w:rFonts w:ascii="Times New Roman" w:hAnsi="Times New Roman"/>
          <w:sz w:val="20"/>
        </w:rPr>
      </w:pPr>
      <w:r>
        <w:rPr>
          <w:rFonts w:ascii="Times New Roman" w:hAnsi="Times New Roman"/>
          <w:sz w:val="20"/>
        </w:rPr>
        <w:t xml:space="preserve">To participate in the Annual Meeting, including to vote via the Internet during the Annual Meeting, you will need to visit </w:t>
      </w:r>
      <w:r>
        <w:rPr>
          <w:rFonts w:ascii="Times New Roman" w:hAnsi="Times New Roman"/>
          <w:i/>
          <w:sz w:val="20"/>
        </w:rPr>
        <w:t>www.virtualshareholdermeeting.com/OUST2024</w:t>
      </w:r>
      <w:r>
        <w:rPr>
          <w:rFonts w:ascii="Times New Roman" w:hAnsi="Times New Roman"/>
          <w:sz w:val="20"/>
        </w:rPr>
        <w:t xml:space="preserve"> and enter the 16-digit control number included on your Internet Notice, proxy card or the instructions that accompanied your proxy materials. The Annual Meeting webcast will begin promptly at 10:00 a.m., Pacific Time, on June 21,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your shares are held in street name through a bank, broker or other nominee,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visit </w:t>
      </w:r>
      <w:r>
        <w:rPr>
          <w:rFonts w:ascii="Times New Roman" w:hAnsi="Times New Roman"/>
          <w:i/>
          <w:sz w:val="20"/>
        </w:rPr>
        <w:t>www.virtualshareholdermeeting.com/OUST2024</w:t>
      </w:r>
      <w:r>
        <w:rPr>
          <w:rFonts w:ascii="Times New Roman" w:hAnsi="Times New Roman"/>
          <w:sz w:val="20"/>
        </w:rPr>
        <w:t xml:space="preserve"> and enter the 16-digit control number included in the voting instruction card provided to you by your bank or brokerage firm. If you hold your shares in street name and you do not receive a 16-digit control number, you may need to log in to your bank or brokerage firms website and select the shareholder communications mailbox to access the Annual Meeting and vote. Instructions should also be provided on the voting instruction card provided by your bank or brokerage firm.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I SUBMIT MY PROXY?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Yes. If you are a stockholder of record, you may revoke your proxy and change your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submitting a duly executed proxy bearing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granting a subsequent proxy through the Internet at </w:t>
            </w:r>
            <w:r>
              <w:rPr>
                <w:rFonts w:ascii="Times New Roman" w:hAnsi="Times New Roman"/>
                <w:i/>
                <w:sz w:val="20"/>
              </w:rPr>
              <w:t>www.proxyvote.com</w:t>
            </w:r>
            <w:r>
              <w:rPr>
                <w:rFonts w:ascii="Times New Roman" w:hAnsi="Times New Roman"/>
                <w:sz w:val="20"/>
              </w:rPr>
              <w:t xml:space="preserve"> or telephone by calling (800) 690-6903;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giving timely written notice of revocation to the Secretary of Ouster prior to the Annual Meeting by writing to Ousters offices at 350 Treat Avenue, San Francisco, California 94110;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voting during the Annual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Your most recent proxy card or Internet or telephone proxy is the one that is counted. Your virtual attendance at the Annual Meeting by itself will not revoke your proxy.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holder of shares or if your shares are held in street name, you may change or revoke your voting instructions by following the specific directions provided to you by your bank, broker or other agent, or you may vote electronically during the Annual Meeting using your 16-digit control number. </w:t>
      </w:r>
    </w:p>
    <w:p>
      <w:pPr>
        <w:pStyle w:val="TextBody"/>
        <w:bidi w:val="0"/>
        <w:spacing w:before="360" w:after="0"/>
        <w:jc w:val="left"/>
        <w:rPr>
          <w:rFonts w:ascii="Times New Roman" w:hAnsi="Times New Roman"/>
          <w:b/>
          <w:sz w:val="20"/>
        </w:rPr>
      </w:pPr>
      <w:r>
        <w:rPr>
          <w:rFonts w:ascii="Times New Roman" w:hAnsi="Times New Roman"/>
          <w:b/>
          <w:sz w:val="20"/>
        </w:rPr>
        <w:t xml:space="preserve">WHO WILL COUNT THE VOTES?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 representative of Broadridge Financial Solutions, Inc., our inspector of election, will tabulate and certify the votes.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DO NOT SPECIFY HOW MY SHARES ARE TO BE VOTED?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If you submit a proxy but do not indicate any voting instructions, the persons named as proxies on the Companys proxy card will vote in accordance with the recommendations of the Board. The Boards recommendations are indicated on page 2 of this proxy statement, as well as with the description of each proposal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WILL ANY OTHER BUSINESS BE CONDUCTED AT THE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know of no business other than those matters listed in the Notice of Meeting at the beginning of this proxy statement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MANY VOTES ARE REQUIRED FOR THE APPROVAL OF THE PROPOSALS TO BE VOTED UPON AND HOW WILL ABSTENTIONS AND BROKER NON-VOTES BE TREATED?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02"/>
        <w:gridCol w:w="198"/>
        <w:gridCol w:w="2754"/>
        <w:gridCol w:w="198"/>
        <w:gridCol w:w="3853"/>
      </w:tblGrid>
      <w:tr>
        <w:trPr/>
        <w:tc>
          <w:tcPr>
            <w:tcW w:w="3202"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385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202" w:type="dxa"/>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4051" w:type="dxa"/>
            <w:gridSpan w:val="2"/>
            <w:tcBorders/>
            <w:vAlign w:val="center"/>
          </w:tcPr>
          <w:p>
            <w:pPr>
              <w:pStyle w:val="TableContents"/>
              <w:bidi w:val="0"/>
              <w:spacing w:before="0" w:after="283"/>
              <w:jc w:val="left"/>
              <w:rPr>
                <w:sz w:val="4"/>
                <w:szCs w:val="4"/>
              </w:rPr>
            </w:pPr>
            <w:r>
              <w:rPr>
                <w:sz w:val="4"/>
                <w:szCs w:val="4"/>
              </w:rPr>
            </w:r>
          </w:p>
        </w:tc>
      </w:tr>
      <w:tr>
        <w:trPr/>
        <w:tc>
          <w:tcPr>
            <w:tcW w:w="3202" w:type="dxa"/>
            <w:tcBorders>
              <w:bottom w:val="single" w:sz="2" w:space="0" w:color="000000"/>
            </w:tcBorders>
            <w:tcMar>
              <w:bottom w:w="40" w:type="dxa"/>
            </w:tcMar>
            <w:vAlign w:val="bottom"/>
          </w:tcPr>
          <w:p>
            <w:pPr>
              <w:pStyle w:val="TableContents"/>
              <w:bidi w:val="0"/>
              <w:spacing w:before="0" w:after="283"/>
              <w:jc w:val="left"/>
              <w:rPr>
                <w:b/>
              </w:rPr>
            </w:pPr>
            <w:r>
              <w:rPr>
                <w:b/>
              </w:rPr>
              <w:t>Proposal</w:t>
            </w:r>
          </w:p>
        </w:tc>
        <w:tc>
          <w:tcPr>
            <w:tcW w:w="198" w:type="dxa"/>
            <w:tcBorders>
              <w:bottom w:val="single" w:sz="2" w:space="0" w:color="000000"/>
            </w:tcBorders>
            <w:tcMar>
              <w:bottom w:w="28" w:type="dxa"/>
            </w:tcMar>
            <w:vAlign w:val="bottom"/>
          </w:tcPr>
          <w:p>
            <w:pPr>
              <w:pStyle w:val="TableContents"/>
              <w:bidi w:val="0"/>
              <w:spacing w:before="0" w:after="283"/>
              <w:jc w:val="left"/>
              <w:rPr/>
            </w:pPr>
            <w:r>
              <w:rPr/>
              <w:t>  </w:t>
            </w:r>
          </w:p>
        </w:tc>
        <w:tc>
          <w:tcPr>
            <w:tcW w:w="2754" w:type="dxa"/>
            <w:tcBorders>
              <w:bottom w:val="single" w:sz="2" w:space="0" w:color="000000"/>
            </w:tcBorders>
            <w:tcMar>
              <w:bottom w:w="40" w:type="dxa"/>
            </w:tcMar>
            <w:vAlign w:val="bottom"/>
          </w:tcPr>
          <w:p>
            <w:pPr>
              <w:pStyle w:val="TableContents"/>
              <w:bidi w:val="0"/>
              <w:spacing w:before="0" w:after="283"/>
              <w:jc w:val="left"/>
              <w:rPr>
                <w:b/>
              </w:rPr>
            </w:pPr>
            <w:r>
              <w:rPr>
                <w:b/>
              </w:rPr>
              <w:t>Votes required</w:t>
            </w:r>
          </w:p>
        </w:tc>
        <w:tc>
          <w:tcPr>
            <w:tcW w:w="198" w:type="dxa"/>
            <w:tcBorders>
              <w:bottom w:val="single" w:sz="2" w:space="0" w:color="000000"/>
            </w:tcBorders>
            <w:tcMar>
              <w:bottom w:w="28" w:type="dxa"/>
            </w:tcMar>
            <w:vAlign w:val="bottom"/>
          </w:tcPr>
          <w:p>
            <w:pPr>
              <w:pStyle w:val="TableContents"/>
              <w:bidi w:val="0"/>
              <w:spacing w:before="0" w:after="283"/>
              <w:jc w:val="left"/>
              <w:rPr/>
            </w:pPr>
            <w:r>
              <w:rPr/>
              <w:t>  </w:t>
            </w:r>
          </w:p>
        </w:tc>
        <w:tc>
          <w:tcPr>
            <w:tcW w:w="3853" w:type="dxa"/>
            <w:tcBorders>
              <w:bottom w:val="single" w:sz="2" w:space="0" w:color="000000"/>
            </w:tcBorders>
            <w:tcMar>
              <w:bottom w:w="40" w:type="dxa"/>
            </w:tcMar>
            <w:vAlign w:val="bottom"/>
          </w:tcPr>
          <w:p>
            <w:pPr>
              <w:pStyle w:val="TableContents"/>
              <w:bidi w:val="0"/>
              <w:spacing w:before="0" w:after="283"/>
              <w:jc w:val="left"/>
              <w:rPr>
                <w:b/>
              </w:rPr>
            </w:pPr>
            <w:r>
              <w:rPr>
                <w:b/>
              </w:rPr>
              <w:t>Effect of Votes Withheld /Abstentions</w:t>
              <w:br/>
              <w:t>and Broker Non-Votes</w:t>
            </w:r>
          </w:p>
        </w:tc>
      </w:tr>
      <w:tr>
        <w:trPr>
          <w:trHeight w:val="60" w:hRule="atLeast"/>
        </w:trPr>
        <w:tc>
          <w:tcPr>
            <w:tcW w:w="3202" w:type="dxa"/>
            <w:tcBorders/>
            <w:shd w:fill="CFF0FC" w:val="clear"/>
            <w:vAlign w:val="center"/>
          </w:tcPr>
          <w:p>
            <w:pPr>
              <w:pStyle w:val="TableContents"/>
              <w:bidi w:val="0"/>
              <w:spacing w:before="0" w:after="283"/>
              <w:jc w:val="left"/>
              <w:rPr>
                <w:sz w:val="4"/>
                <w:szCs w:val="4"/>
              </w:rPr>
            </w:pPr>
            <w:r>
              <w:rPr>
                <w:sz w:val="4"/>
                <w:szCs w:val="4"/>
              </w:rPr>
            </w:r>
          </w:p>
        </w:tc>
        <w:tc>
          <w:tcPr>
            <w:tcW w:w="2952" w:type="dxa"/>
            <w:gridSpan w:val="2"/>
            <w:tcBorders/>
            <w:shd w:fill="CFF0FC" w:val="clear"/>
            <w:vAlign w:val="center"/>
          </w:tcPr>
          <w:p>
            <w:pPr>
              <w:pStyle w:val="TableContents"/>
              <w:bidi w:val="0"/>
              <w:spacing w:before="0" w:after="283"/>
              <w:jc w:val="left"/>
              <w:rPr>
                <w:sz w:val="4"/>
                <w:szCs w:val="4"/>
              </w:rPr>
            </w:pPr>
            <w:r>
              <w:rPr>
                <w:sz w:val="4"/>
                <w:szCs w:val="4"/>
              </w:rPr>
            </w:r>
          </w:p>
        </w:tc>
        <w:tc>
          <w:tcPr>
            <w:tcW w:w="4051"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3202"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u w:val="single"/>
              </w:rPr>
              <w:t>Proposal 1</w:t>
            </w:r>
            <w:r>
              <w:rPr>
                <w:rFonts w:ascii="Times New Roman" w:hAnsi="Times New Roman"/>
                <w:sz w:val="16"/>
              </w:rPr>
              <w:t>: Election of Directors</w:t>
            </w:r>
          </w:p>
        </w:tc>
        <w:tc>
          <w:tcPr>
            <w:tcW w:w="198" w:type="dxa"/>
            <w:tcBorders/>
            <w:shd w:fill="CFF0FC" w:val="clear"/>
            <w:vAlign w:val="bottom"/>
          </w:tcPr>
          <w:p>
            <w:pPr>
              <w:pStyle w:val="TableContents"/>
              <w:bidi w:val="0"/>
              <w:spacing w:before="0" w:after="283"/>
              <w:jc w:val="left"/>
              <w:rPr/>
            </w:pPr>
            <w:r>
              <w:rPr/>
              <w:t>  </w:t>
            </w:r>
          </w:p>
        </w:tc>
        <w:tc>
          <w:tcPr>
            <w:tcW w:w="2754" w:type="dxa"/>
            <w:tcBorders/>
            <w:shd w:fill="CFF0FC" w:val="clear"/>
          </w:tcPr>
          <w:p>
            <w:pPr>
              <w:pStyle w:val="TableContents"/>
              <w:bidi w:val="0"/>
              <w:spacing w:before="0" w:after="283"/>
              <w:jc w:val="left"/>
              <w:rPr/>
            </w:pPr>
            <w:r>
              <w:rPr/>
              <w:t>The plurality of the votes cast. This means that the three nominees receiving the highest number of affirmative FOR votes will be elected as Class III Directors.</w:t>
            </w:r>
          </w:p>
        </w:tc>
        <w:tc>
          <w:tcPr>
            <w:tcW w:w="198" w:type="dxa"/>
            <w:tcBorders/>
            <w:shd w:fill="CFF0FC" w:val="clear"/>
            <w:vAlign w:val="bottom"/>
          </w:tcPr>
          <w:p>
            <w:pPr>
              <w:pStyle w:val="TableContents"/>
              <w:bidi w:val="0"/>
              <w:spacing w:before="0" w:after="283"/>
              <w:jc w:val="left"/>
              <w:rPr/>
            </w:pPr>
            <w:r>
              <w:rPr/>
              <w:t>  </w:t>
            </w:r>
          </w:p>
        </w:tc>
        <w:tc>
          <w:tcPr>
            <w:tcW w:w="3853" w:type="dxa"/>
            <w:tcBorders/>
            <w:shd w:fill="CFF0FC" w:val="clear"/>
          </w:tcPr>
          <w:p>
            <w:pPr>
              <w:pStyle w:val="TableContents"/>
              <w:bidi w:val="0"/>
              <w:spacing w:before="0" w:after="283"/>
              <w:jc w:val="left"/>
              <w:rPr/>
            </w:pPr>
            <w:r>
              <w:rPr/>
              <w:t>Votes withheld and broker non-votes will have no effect.</w:t>
            </w:r>
          </w:p>
        </w:tc>
      </w:tr>
      <w:tr>
        <w:trPr>
          <w:trHeight w:val="60" w:hRule="atLeast"/>
        </w:trPr>
        <w:tc>
          <w:tcPr>
            <w:tcW w:w="3202" w:type="dxa"/>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4051" w:type="dxa"/>
            <w:gridSpan w:val="2"/>
            <w:tcBorders/>
            <w:vAlign w:val="center"/>
          </w:tcPr>
          <w:p>
            <w:pPr>
              <w:pStyle w:val="TableContents"/>
              <w:bidi w:val="0"/>
              <w:spacing w:before="0" w:after="283"/>
              <w:jc w:val="left"/>
              <w:rPr>
                <w:sz w:val="4"/>
                <w:szCs w:val="4"/>
              </w:rPr>
            </w:pPr>
            <w:r>
              <w:rPr>
                <w:sz w:val="4"/>
                <w:szCs w:val="4"/>
              </w:rPr>
            </w:r>
          </w:p>
        </w:tc>
      </w:tr>
      <w:tr>
        <w:trPr/>
        <w:tc>
          <w:tcPr>
            <w:tcW w:w="3202" w:type="dxa"/>
            <w:tcBorders/>
          </w:tcPr>
          <w:p>
            <w:pPr>
              <w:pStyle w:val="TableContents"/>
              <w:bidi w:val="0"/>
              <w:spacing w:before="0" w:after="283"/>
              <w:jc w:val="left"/>
              <w:rPr/>
            </w:pPr>
            <w:r>
              <w:rPr>
                <w:u w:val="single"/>
              </w:rPr>
              <w:t>Proposal 2</w:t>
            </w:r>
            <w:r>
              <w:rPr/>
              <w:t>: Ratification of Appointment of our Independent Registered Public Accounting Firm</w:t>
            </w:r>
          </w:p>
        </w:tc>
        <w:tc>
          <w:tcPr>
            <w:tcW w:w="198" w:type="dxa"/>
            <w:tcBorders/>
            <w:vAlign w:val="bottom"/>
          </w:tcPr>
          <w:p>
            <w:pPr>
              <w:pStyle w:val="TableContents"/>
              <w:bidi w:val="0"/>
              <w:spacing w:before="0" w:after="283"/>
              <w:jc w:val="left"/>
              <w:rPr/>
            </w:pPr>
            <w:r>
              <w:rPr/>
              <w:t>  </w:t>
            </w:r>
          </w:p>
        </w:tc>
        <w:tc>
          <w:tcPr>
            <w:tcW w:w="2754" w:type="dxa"/>
            <w:tcBorders/>
          </w:tcPr>
          <w:p>
            <w:pPr>
              <w:pStyle w:val="TableContents"/>
              <w:bidi w:val="0"/>
              <w:spacing w:before="0" w:after="283"/>
              <w:jc w:val="left"/>
              <w:rPr/>
            </w:pPr>
            <w:r>
              <w:rPr/>
              <w:t>The affirmative vote of the holders of a majority in voting power of the votes cast (excluding abstentions and broker non-votes) on such matter.</w:t>
            </w:r>
          </w:p>
        </w:tc>
        <w:tc>
          <w:tcPr>
            <w:tcW w:w="198" w:type="dxa"/>
            <w:tcBorders/>
            <w:vAlign w:val="bottom"/>
          </w:tcPr>
          <w:p>
            <w:pPr>
              <w:pStyle w:val="TableContents"/>
              <w:bidi w:val="0"/>
              <w:spacing w:before="0" w:after="283"/>
              <w:jc w:val="left"/>
              <w:rPr/>
            </w:pPr>
            <w:r>
              <w:rPr/>
              <w:t>  </w:t>
            </w:r>
          </w:p>
        </w:tc>
        <w:tc>
          <w:tcPr>
            <w:tcW w:w="3853" w:type="dxa"/>
            <w:tcBorders/>
          </w:tcPr>
          <w:p>
            <w:pPr>
              <w:pStyle w:val="TableContents"/>
              <w:bidi w:val="0"/>
              <w:spacing w:before="0" w:after="283"/>
              <w:jc w:val="left"/>
              <w:rPr/>
            </w:pPr>
            <w:r>
              <w:rPr/>
              <w:t>Abstentions and broker non-votes will have no effect, and because brokers have discretionary authority to vote on this proposal we do not expect any broker non-votes in connection with this proposal.</w:t>
            </w:r>
          </w:p>
        </w:tc>
      </w:tr>
      <w:tr>
        <w:trPr>
          <w:trHeight w:val="60" w:hRule="atLeast"/>
        </w:trPr>
        <w:tc>
          <w:tcPr>
            <w:tcW w:w="3202" w:type="dxa"/>
            <w:tcBorders/>
            <w:shd w:fill="CFF0FC" w:val="clear"/>
            <w:vAlign w:val="center"/>
          </w:tcPr>
          <w:p>
            <w:pPr>
              <w:pStyle w:val="TableContents"/>
              <w:bidi w:val="0"/>
              <w:spacing w:before="0" w:after="283"/>
              <w:jc w:val="left"/>
              <w:rPr>
                <w:sz w:val="4"/>
                <w:szCs w:val="4"/>
              </w:rPr>
            </w:pPr>
            <w:r>
              <w:rPr>
                <w:sz w:val="4"/>
                <w:szCs w:val="4"/>
              </w:rPr>
            </w:r>
          </w:p>
        </w:tc>
        <w:tc>
          <w:tcPr>
            <w:tcW w:w="2952" w:type="dxa"/>
            <w:gridSpan w:val="2"/>
            <w:tcBorders/>
            <w:shd w:fill="CFF0FC" w:val="clear"/>
            <w:vAlign w:val="center"/>
          </w:tcPr>
          <w:p>
            <w:pPr>
              <w:pStyle w:val="TableContents"/>
              <w:bidi w:val="0"/>
              <w:spacing w:before="0" w:after="283"/>
              <w:jc w:val="left"/>
              <w:rPr>
                <w:sz w:val="4"/>
                <w:szCs w:val="4"/>
              </w:rPr>
            </w:pPr>
            <w:r>
              <w:rPr>
                <w:sz w:val="4"/>
                <w:szCs w:val="4"/>
              </w:rPr>
            </w:r>
          </w:p>
        </w:tc>
        <w:tc>
          <w:tcPr>
            <w:tcW w:w="4051"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3202" w:type="dxa"/>
            <w:tcBorders/>
            <w:shd w:fill="CFF0FC" w:val="clear"/>
          </w:tcPr>
          <w:p>
            <w:pPr>
              <w:pStyle w:val="TableContents"/>
              <w:bidi w:val="0"/>
              <w:spacing w:before="0" w:after="283"/>
              <w:jc w:val="left"/>
              <w:rPr/>
            </w:pPr>
            <w:r>
              <w:rPr>
                <w:u w:val="single"/>
              </w:rPr>
              <w:t>Proposal 3</w:t>
            </w:r>
            <w:r>
              <w:rPr/>
              <w:t>: Approval, on an Advisory (Non-Binding) Basis, of the Compensation of our Named Executive Officers</w:t>
            </w:r>
          </w:p>
        </w:tc>
        <w:tc>
          <w:tcPr>
            <w:tcW w:w="198" w:type="dxa"/>
            <w:tcBorders/>
            <w:shd w:fill="CFF0FC" w:val="clear"/>
            <w:vAlign w:val="bottom"/>
          </w:tcPr>
          <w:p>
            <w:pPr>
              <w:pStyle w:val="TableContents"/>
              <w:bidi w:val="0"/>
              <w:spacing w:before="0" w:after="283"/>
              <w:jc w:val="left"/>
              <w:rPr/>
            </w:pPr>
            <w:r>
              <w:rPr/>
              <w:t>  </w:t>
            </w:r>
          </w:p>
        </w:tc>
        <w:tc>
          <w:tcPr>
            <w:tcW w:w="2754" w:type="dxa"/>
            <w:tcBorders/>
            <w:shd w:fill="CFF0FC" w:val="clear"/>
          </w:tcPr>
          <w:p>
            <w:pPr>
              <w:pStyle w:val="TableContents"/>
              <w:bidi w:val="0"/>
              <w:spacing w:before="0" w:after="283"/>
              <w:jc w:val="left"/>
              <w:rPr/>
            </w:pPr>
            <w:r>
              <w:rPr/>
              <w:t>The affirmative vote of the holders of a majority in voting power of the votes cast (excluding abstentions and broker non-votes) on such matter.</w:t>
            </w:r>
          </w:p>
        </w:tc>
        <w:tc>
          <w:tcPr>
            <w:tcW w:w="198" w:type="dxa"/>
            <w:tcBorders/>
            <w:shd w:fill="CFF0FC" w:val="clear"/>
            <w:vAlign w:val="bottom"/>
          </w:tcPr>
          <w:p>
            <w:pPr>
              <w:pStyle w:val="TableContents"/>
              <w:bidi w:val="0"/>
              <w:spacing w:before="0" w:after="283"/>
              <w:jc w:val="left"/>
              <w:rPr/>
            </w:pPr>
            <w:r>
              <w:rPr/>
              <w:t>  </w:t>
            </w:r>
          </w:p>
        </w:tc>
        <w:tc>
          <w:tcPr>
            <w:tcW w:w="3853" w:type="dxa"/>
            <w:tcBorders/>
            <w:shd w:fill="CFF0FC" w:val="clear"/>
          </w:tcPr>
          <w:p>
            <w:pPr>
              <w:pStyle w:val="TableContents"/>
              <w:bidi w:val="0"/>
              <w:spacing w:before="0" w:after="283"/>
              <w:jc w:val="left"/>
              <w:rPr/>
            </w:pPr>
            <w:r>
              <w:rPr/>
              <w:t>Abstentions and broker non-votes will have no effect.</w:t>
            </w:r>
          </w:p>
        </w:tc>
      </w:tr>
      <w:tr>
        <w:trPr>
          <w:trHeight w:val="60" w:hRule="atLeast"/>
        </w:trPr>
        <w:tc>
          <w:tcPr>
            <w:tcW w:w="3202" w:type="dxa"/>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4051" w:type="dxa"/>
            <w:gridSpan w:val="2"/>
            <w:tcBorders/>
            <w:vAlign w:val="center"/>
          </w:tcPr>
          <w:p>
            <w:pPr>
              <w:pStyle w:val="TableContents"/>
              <w:bidi w:val="0"/>
              <w:spacing w:before="0" w:after="283"/>
              <w:jc w:val="left"/>
              <w:rPr>
                <w:sz w:val="4"/>
                <w:szCs w:val="4"/>
              </w:rPr>
            </w:pPr>
            <w:r>
              <w:rPr>
                <w:sz w:val="4"/>
                <w:szCs w:val="4"/>
              </w:rPr>
            </w:r>
          </w:p>
        </w:tc>
      </w:tr>
      <w:tr>
        <w:trPr/>
        <w:tc>
          <w:tcPr>
            <w:tcW w:w="3202" w:type="dxa"/>
            <w:tcBorders/>
          </w:tcPr>
          <w:p>
            <w:pPr>
              <w:pStyle w:val="TableContents"/>
              <w:bidi w:val="0"/>
              <w:spacing w:before="0" w:after="283"/>
              <w:jc w:val="left"/>
              <w:rPr/>
            </w:pPr>
            <w:r>
              <w:rPr>
                <w:u w:val="single"/>
              </w:rPr>
              <w:t>Proposal 4</w:t>
            </w:r>
            <w:r>
              <w:rPr/>
              <w:t>: Approval of the A&amp;R ESPP to Increase the Number of Shares Authorized for Issuance</w:t>
            </w:r>
          </w:p>
        </w:tc>
        <w:tc>
          <w:tcPr>
            <w:tcW w:w="198" w:type="dxa"/>
            <w:tcBorders/>
            <w:vAlign w:val="bottom"/>
          </w:tcPr>
          <w:p>
            <w:pPr>
              <w:pStyle w:val="TableContents"/>
              <w:bidi w:val="0"/>
              <w:spacing w:before="0" w:after="283"/>
              <w:jc w:val="left"/>
              <w:rPr/>
            </w:pPr>
            <w:r>
              <w:rPr/>
              <w:t>  </w:t>
            </w:r>
          </w:p>
        </w:tc>
        <w:tc>
          <w:tcPr>
            <w:tcW w:w="2754" w:type="dxa"/>
            <w:tcBorders/>
          </w:tcPr>
          <w:p>
            <w:pPr>
              <w:pStyle w:val="TableContents"/>
              <w:bidi w:val="0"/>
              <w:spacing w:before="0" w:after="283"/>
              <w:jc w:val="left"/>
              <w:rPr/>
            </w:pPr>
            <w:r>
              <w:rPr/>
              <w:t>The affirmative vote of the holders of a majority in voting power of the votes cast (excluding abstentions and broker non-votes) on such matter.</w:t>
            </w:r>
          </w:p>
        </w:tc>
        <w:tc>
          <w:tcPr>
            <w:tcW w:w="198" w:type="dxa"/>
            <w:tcBorders/>
            <w:vAlign w:val="bottom"/>
          </w:tcPr>
          <w:p>
            <w:pPr>
              <w:pStyle w:val="TableContents"/>
              <w:bidi w:val="0"/>
              <w:spacing w:before="0" w:after="283"/>
              <w:jc w:val="left"/>
              <w:rPr/>
            </w:pPr>
            <w:r>
              <w:rPr/>
              <w:t>  </w:t>
            </w:r>
          </w:p>
        </w:tc>
        <w:tc>
          <w:tcPr>
            <w:tcW w:w="3853" w:type="dxa"/>
            <w:tcBorders/>
          </w:tcPr>
          <w:p>
            <w:pPr>
              <w:pStyle w:val="TableContents"/>
              <w:bidi w:val="0"/>
              <w:spacing w:before="0" w:after="283"/>
              <w:jc w:val="left"/>
              <w:rPr/>
            </w:pPr>
            <w:r>
              <w:rPr/>
              <w:t>Abstentions and broker non-votes will have no effect.</w:t>
            </w:r>
          </w:p>
        </w:tc>
      </w:tr>
      <w:tr>
        <w:trPr>
          <w:trHeight w:val="60" w:hRule="atLeast"/>
        </w:trPr>
        <w:tc>
          <w:tcPr>
            <w:tcW w:w="3202" w:type="dxa"/>
            <w:tcBorders/>
            <w:shd w:fill="CFF0FC" w:val="clear"/>
            <w:vAlign w:val="center"/>
          </w:tcPr>
          <w:p>
            <w:pPr>
              <w:pStyle w:val="TableContents"/>
              <w:bidi w:val="0"/>
              <w:spacing w:before="0" w:after="283"/>
              <w:jc w:val="left"/>
              <w:rPr>
                <w:sz w:val="4"/>
                <w:szCs w:val="4"/>
              </w:rPr>
            </w:pPr>
            <w:r>
              <w:rPr>
                <w:sz w:val="4"/>
                <w:szCs w:val="4"/>
              </w:rPr>
            </w:r>
          </w:p>
        </w:tc>
        <w:tc>
          <w:tcPr>
            <w:tcW w:w="2952" w:type="dxa"/>
            <w:gridSpan w:val="2"/>
            <w:tcBorders/>
            <w:shd w:fill="CFF0FC" w:val="clear"/>
            <w:vAlign w:val="center"/>
          </w:tcPr>
          <w:p>
            <w:pPr>
              <w:pStyle w:val="TableContents"/>
              <w:bidi w:val="0"/>
              <w:spacing w:before="0" w:after="283"/>
              <w:jc w:val="left"/>
              <w:rPr>
                <w:sz w:val="4"/>
                <w:szCs w:val="4"/>
              </w:rPr>
            </w:pPr>
            <w:r>
              <w:rPr>
                <w:sz w:val="4"/>
                <w:szCs w:val="4"/>
              </w:rPr>
            </w:r>
          </w:p>
        </w:tc>
        <w:tc>
          <w:tcPr>
            <w:tcW w:w="4051"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3202" w:type="dxa"/>
            <w:tcBorders>
              <w:bottom w:val="single" w:sz="2" w:space="0" w:color="000000"/>
            </w:tcBorders>
            <w:shd w:fill="CFF0FC" w:val="clear"/>
            <w:tcMar>
              <w:bottom w:w="60" w:type="dxa"/>
            </w:tcMar>
          </w:tcPr>
          <w:p>
            <w:pPr>
              <w:pStyle w:val="TableContents"/>
              <w:bidi w:val="0"/>
              <w:spacing w:before="0" w:after="283"/>
              <w:jc w:val="left"/>
              <w:rPr/>
            </w:pPr>
            <w:r>
              <w:rPr>
                <w:u w:val="single"/>
              </w:rPr>
              <w:t>Proposal 5</w:t>
            </w:r>
            <w:r>
              <w:rPr/>
              <w:t>: Approval of the Velodyne Lidar, Inc. 2020 Equity Incentive Plan.</w:t>
            </w:r>
          </w:p>
        </w:tc>
        <w:tc>
          <w:tcPr>
            <w:tcW w:w="198"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2754" w:type="dxa"/>
            <w:tcBorders>
              <w:bottom w:val="single" w:sz="2" w:space="0" w:color="000000"/>
            </w:tcBorders>
            <w:shd w:fill="CFF0FC" w:val="clear"/>
            <w:tcMar>
              <w:bottom w:w="60" w:type="dxa"/>
            </w:tcMar>
          </w:tcPr>
          <w:p>
            <w:pPr>
              <w:pStyle w:val="TableContents"/>
              <w:bidi w:val="0"/>
              <w:spacing w:before="0" w:after="283"/>
              <w:jc w:val="left"/>
              <w:rPr/>
            </w:pPr>
            <w:r>
              <w:rPr/>
              <w:t>The affirmative vote of the holders of a majority in voting power of the votes cast (excluding abstentions and broker non-votes) on such matter.</w:t>
            </w:r>
          </w:p>
        </w:tc>
        <w:tc>
          <w:tcPr>
            <w:tcW w:w="198"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3853" w:type="dxa"/>
            <w:tcBorders>
              <w:bottom w:val="single" w:sz="2" w:space="0" w:color="000000"/>
            </w:tcBorders>
            <w:shd w:fill="CFF0FC" w:val="clear"/>
            <w:tcMar>
              <w:bottom w:w="60" w:type="dxa"/>
            </w:tcMar>
          </w:tcPr>
          <w:p>
            <w:pPr>
              <w:pStyle w:val="TableContents"/>
              <w:bidi w:val="0"/>
              <w:spacing w:before="0" w:after="283"/>
              <w:jc w:val="left"/>
              <w:rPr/>
            </w:pPr>
            <w:r>
              <w:rPr/>
              <w:t>Abstentions and broker non-votes will have no effect.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IS AN ABSTENTION AND HOW WILL VOTES WITHHELD AND ABSTENTIONS BE TREATED?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 vote withheld, in the case of the proposal regarding the election of directors, or an abstention, in the case of the four other proposals to be voted on at the Annual Meeting, represents a stockholders affirmative choice to decline to vote on a proposal. Votes withheld and abstentions are counted as present and entitled to vote solely for purposes of determining a quorum. Votes withheld will have no effect on the election of directors and abstentions will have no effect on the ratification of the appointment of PricewaterhouseCoopers LLP, the advisory vote on the compensation of our named executive officers, the approval of the A&amp;R ESPP to increase the number of shares authorized for issuance or the approval of the Velodyne Lidar, Inc. 2020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Generally, broker non-votes occur when shares held by a broker, bank or other agent in street name for a beneficial owner are not voted with respect to a particular proposal because the broker, bank or other agent (1) has not received voting instructions from the beneficial owner and (2) lacks discretionary voting power to vote those shares. A broker or other agent is entitled to vote shares held for a beneficial owner on routine matters without instructions from the beneficial owner of those shares. The only routine matter presented at the Annual Meeting is Proposal No. 2, relating to the ratification of the appointment of PricewaterhouseCoopers LLP as our independent registered public accounting firm for the year ending December 31, 2024. On the other hand, absent instructions from the beneficial owner of such shares, a broker is not entitled to vote shares held for a beneficial owner on non-routine matters, such as the election of directors, the advisory vote on the compensation of our named executive officers, the approval of the A&amp;R ESPP to increase the number of shares authorized for issuance or the approval of the Velodyne Lidar, Inc. 2020 Equity Incentive Plan. Broker non-votes count for purposes of determining whether a quorum is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WHERE CAN I FIND THE VOTING RESULTS OF THE 2024 ANNUAL MEETING OF STOCKHOLDERS?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plan to announce preliminary voting results at the Annual Meeting and we will report the final results in a Current Report on Form 8-K, which we intend to file with the SEC within four business days of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WILL THERE BE A QUESTION-AND-ANSWER SESSION DURING THE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As part of the Annual Meeting, we will hold a Q&amp;A session, during which we intend to answer appropriate questions submitted by stockholders during the Annual Meeting or questions submitted at </w:t>
      </w:r>
      <w:r>
        <w:rPr>
          <w:rFonts w:ascii="Times New Roman" w:hAnsi="Times New Roman"/>
          <w:i/>
          <w:sz w:val="20"/>
        </w:rPr>
        <w:t>www.proxyvote.com</w:t>
      </w:r>
      <w:r>
        <w:rPr>
          <w:rFonts w:ascii="Times New Roman" w:hAnsi="Times New Roman"/>
          <w:sz w:val="20"/>
        </w:rPr>
        <w:t xml:space="preserve"> in advance of the Annual Meeting that are pertinent to the Company and the Annual Meeting matters, for up to 10 minutes after the completion of the Annual Meeting. Appropriate questions submitted by stockholders will be read during the Q&amp;A portion of the Annual Meeting. Through this process, we believe we can respond to more questions than we were able to respond to at an in-person meeting. Only stockholders that have accessed the Annual Meeting as a stockholder (rather than a Guest) by following the procedures outlined above in Who can attend and vote at the 2024 Annual Meeting of Stockholders? will be permitted to submit questions during the Annual Meeting. If you would like to submit questions in advance of the Annual Meeting, please visit </w:t>
      </w:r>
      <w:r>
        <w:rPr>
          <w:rFonts w:ascii="Times New Roman" w:hAnsi="Times New Roman"/>
          <w:i/>
          <w:sz w:val="20"/>
        </w:rPr>
        <w:t>www.proxyvote.com</w:t>
      </w:r>
      <w:r>
        <w:rPr>
          <w:rFonts w:ascii="Times New Roman" w:hAnsi="Times New Roman"/>
          <w:sz w:val="20"/>
        </w:rPr>
        <w:t xml:space="preserve"> before 11:59 p.m. Eastern Time on June 20, 2024 and enter your 16-digit control number. Each stockholder is limited to no more than two questions. Questions should be succinct and only cover a single topic. We will not address questions that are,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irrelevant to the business of the Company or to the business of the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related to material non-public information of the Company, including the status or results of our business since our last Quarterly Report on Form 10-Q;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related to any pending, threatened or ongoing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related to personal grievances;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derogatory references to individuals or that are otherwise in bad taste;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substantially repetitious of questions already made by another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excess of the two-question limit;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furtherance of the stockholders personal or business interests;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out of order or not otherwise suitable for the conduct of the Annual Meeting as determined by the Chair or Corporate Secretary in their reasonable judgment.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Depending on the number of questions submitted, we may not be able to answer all questions during the Annual Meeting. Additional information regarding the Q&amp;A session will be available in the Rules of Conduct available on the Annual Meeting webpage for stockholders who have accessed the Annual Meeting as a stockholder (rather than a Guest) by following the procedures outlined above in Who can attend and vote at the 2024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8" w:name="toc800696_6"/>
      <w:bookmarkEnd w:id="8"/>
      <w:r>
        <w:rPr>
          <w:rFonts w:ascii="Times New Roman" w:hAnsi="Times New Roman"/>
          <w:b/>
          <w:sz w:val="20"/>
        </w:rPr>
        <w:t xml:space="preserve">PROPOSALS TO BE VOTED ON </w:t>
      </w:r>
    </w:p>
    <w:p>
      <w:pPr>
        <w:pStyle w:val="TextBody"/>
        <w:bidi w:val="0"/>
        <w:spacing w:before="240" w:after="0"/>
        <w:jc w:val="left"/>
        <w:rPr>
          <w:rFonts w:ascii="Times New Roman" w:hAnsi="Times New Roman"/>
          <w:b/>
          <w:sz w:val="20"/>
        </w:rPr>
      </w:pPr>
      <w:bookmarkStart w:id="9" w:name="toc800696_7"/>
      <w:bookmarkEnd w:id="9"/>
      <w:r>
        <w:rPr>
          <w:rFonts w:ascii="Times New Roman" w:hAnsi="Times New Roman"/>
          <w:b/>
          <w:sz w:val="20"/>
        </w:rPr>
        <w:t xml:space="preserve">PROPOSAL 1: Election of Directors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At the Annual Meeting, three (3) Class III Directors are to be elected to hold office until our annual meeting of stockholders to be held in 2027 and until such directors successor is elected and qualified or until such directors earlier death,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We currently have eight (8) directors on our Board. The proposal regarding the election of directors requires the approval of a plurality of the votes cast. This means that the three nominees receiving the highest number of affirmative FOR votes will be elected as Class III Directors. Votes withheld and broker non-votes will have no effect on the outcome of the vote on this proposal. </w:t>
      </w:r>
    </w:p>
    <w:p>
      <w:pPr>
        <w:pStyle w:val="TextBody"/>
        <w:bidi w:val="0"/>
        <w:spacing w:before="240" w:after="0"/>
        <w:jc w:val="both"/>
        <w:rPr>
          <w:rFonts w:ascii="Times New Roman" w:hAnsi="Times New Roman"/>
          <w:sz w:val="20"/>
        </w:rPr>
      </w:pPr>
      <w:r>
        <w:rPr>
          <w:rFonts w:ascii="Times New Roman" w:hAnsi="Times New Roman"/>
          <w:sz w:val="20"/>
        </w:rPr>
        <w:t xml:space="preserve">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III , whose current term will expire at the upcoming Annual Meeting and whose subsequent term will expire at the 2027 annual meeting of stockholders; Class I, whose term will expire at the 2025 annual meeting of stockholders; and Class II, whose term will expire at the 2026 annual meeting of stockholders. The current Class I Directors are Karin Rådström, Kristin Slanina and Ernest E. Maddock; the current Class II Directors are Virginia Boulet and Riaz Valani; and the current Class III Directors are Susan Heystee, Angus Pacala and Theodore L. Tewksbury, Ph.D. </w:t>
      </w:r>
    </w:p>
    <w:p>
      <w:pPr>
        <w:pStyle w:val="TextBody"/>
        <w:bidi w:val="0"/>
        <w:spacing w:before="240" w:after="0"/>
        <w:jc w:val="both"/>
        <w:rPr>
          <w:rFonts w:ascii="Times New Roman" w:hAnsi="Times New Roman"/>
          <w:sz w:val="20"/>
        </w:rPr>
      </w:pPr>
      <w:r>
        <w:rPr>
          <w:rFonts w:ascii="Times New Roman" w:hAnsi="Times New Roman"/>
          <w:sz w:val="20"/>
        </w:rPr>
        <w:t xml:space="preserve">If you submit a proxy but do not indicate any voting instructions, the persons named as proxies will vote the shares of common stock represented by the proxy for the election as Class III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Susan Heystee, Angus Pacala or Theodore L. Tewksbury, Ph.D. will be unable to serve if elected. Each of Susan Heystee, Angus Pacala and Theodore L. Tewksbury has consented to being named in this proxy statement and to serve if elected.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proposal regarding the election of directors requires the approval of a plurality of the votes cast. This means that the three nominees receiving the highest number of affirmative FOR votes will be elected as Class III Directors. Votes withheld and broker non-votes will have no effect on the outcome of the vote on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10526" w:type="dxa"/>
        <w:jc w:val="center"/>
        <w:tblInd w:w="0" w:type="dxa"/>
        <w:tblLayout w:type="fixed"/>
        <w:tblCellMar>
          <w:top w:w="0" w:type="dxa"/>
          <w:left w:w="0" w:type="dxa"/>
          <w:bottom w:w="0" w:type="dxa"/>
          <w:right w:w="0" w:type="dxa"/>
        </w:tblCellMar>
      </w:tblPr>
      <w:tblGrid>
        <w:gridCol w:w="36"/>
        <w:gridCol w:w="120"/>
        <w:gridCol w:w="10370"/>
      </w:tblGrid>
      <w:tr>
        <w:trPr/>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70" w:type="dxa"/>
            <w:tcBorders/>
            <w:vAlign w:val="center"/>
          </w:tcPr>
          <w:p>
            <w:pPr>
              <w:pStyle w:val="TableContents"/>
              <w:bidi w:val="0"/>
              <w:spacing w:before="0" w:after="283"/>
              <w:jc w:val="left"/>
              <w:rPr>
                <w:sz w:val="4"/>
                <w:szCs w:val="4"/>
              </w:rPr>
            </w:pPr>
            <w:r>
              <w:rPr>
                <w:sz w:val="4"/>
                <w:szCs w:val="4"/>
              </w:rPr>
            </w:r>
          </w:p>
        </w:tc>
      </w:tr>
      <w:tr>
        <w:trPr/>
        <w:tc>
          <w:tcPr>
            <w:tcW w:w="36" w:type="dxa"/>
            <w:tcBorders/>
            <w:vAlign w:val="center"/>
          </w:tcPr>
          <w:p>
            <w:pPr>
              <w:pStyle w:val="TableContents"/>
              <w:bidi w:val="0"/>
              <w:spacing w:before="0" w:after="0"/>
              <w:jc w:val="both"/>
              <w:rPr/>
            </w:pPr>
            <w:r>
              <w:rPr/>
              <w:drawing>
                <wp:inline distT="0" distB="0" distL="0" distR="0">
                  <wp:extent cx="22860" cy="228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860" cy="2286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10370" w:type="dxa"/>
            <w:tcBorders/>
            <w:vAlign w:val="bottom"/>
          </w:tcPr>
          <w:p>
            <w:pPr>
              <w:pStyle w:val="TableContents"/>
              <w:bidi w:val="0"/>
              <w:spacing w:before="0" w:after="0"/>
              <w:jc w:val="both"/>
              <w:rPr>
                <w:rFonts w:ascii="Times New Roman" w:hAnsi="Times New Roman"/>
                <w:b/>
                <w:sz w:val="20"/>
              </w:rPr>
            </w:pPr>
            <w:r>
              <w:rPr>
                <w:rFonts w:ascii="Times New Roman" w:hAnsi="Times New Roman"/>
                <w:b/>
                <w:sz w:val="20"/>
              </w:rPr>
              <w:t>The Board of Directors unanimously recommends a vote FOR the election of each of the below Class III Director nominees.</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NOMINEES FOR CLASS III DIRECTORS (CURRENT TERMS TO EXPIRE AT THE 2024 ANNUAL MEETING)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current members of the Board who are also nominees for election to the Board as Class III Directors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4"/>
        <w:gridCol w:w="70"/>
        <w:gridCol w:w="79"/>
        <w:gridCol w:w="346"/>
        <w:gridCol w:w="60"/>
        <w:gridCol w:w="128"/>
        <w:gridCol w:w="1583"/>
        <w:gridCol w:w="128"/>
        <w:gridCol w:w="5367"/>
      </w:tblGrid>
      <w:tr>
        <w:trPr/>
        <w:tc>
          <w:tcPr>
            <w:tcW w:w="2444"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367" w:type="dxa"/>
            <w:tcBorders/>
            <w:vAlign w:val="center"/>
          </w:tcPr>
          <w:p>
            <w:pPr>
              <w:pStyle w:val="TableContents"/>
              <w:bidi w:val="0"/>
              <w:spacing w:before="0" w:after="283"/>
              <w:jc w:val="left"/>
              <w:rPr>
                <w:sz w:val="4"/>
                <w:szCs w:val="4"/>
              </w:rPr>
            </w:pPr>
            <w:r>
              <w:rPr>
                <w:sz w:val="4"/>
                <w:szCs w:val="4"/>
              </w:rPr>
            </w:r>
          </w:p>
        </w:tc>
      </w:tr>
      <w:tr>
        <w:trPr/>
        <w:tc>
          <w:tcPr>
            <w:tcW w:w="2444"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4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8" w:type="dxa"/>
            <w:tcBorders>
              <w:bottom w:val="single" w:sz="2" w:space="0" w:color="000000"/>
            </w:tcBorders>
            <w:tcMar>
              <w:bottom w:w="28" w:type="dxa"/>
            </w:tcMar>
            <w:vAlign w:val="bottom"/>
          </w:tcPr>
          <w:p>
            <w:pPr>
              <w:pStyle w:val="TableContents"/>
              <w:bidi w:val="0"/>
              <w:spacing w:before="0" w:after="283"/>
              <w:jc w:val="left"/>
              <w:rPr/>
            </w:pPr>
            <w:r>
              <w:rPr/>
              <w:t>  </w:t>
            </w:r>
          </w:p>
        </w:tc>
        <w:tc>
          <w:tcPr>
            <w:tcW w:w="1583" w:type="dxa"/>
            <w:tcBorders>
              <w:bottom w:val="single" w:sz="2" w:space="0" w:color="000000"/>
            </w:tcBorders>
            <w:tcMar>
              <w:bottom w:w="28" w:type="dxa"/>
            </w:tcMar>
            <w:vAlign w:val="bottom"/>
          </w:tcPr>
          <w:p>
            <w:pPr>
              <w:pStyle w:val="TableContents"/>
              <w:bidi w:val="0"/>
              <w:spacing w:before="0" w:after="283"/>
              <w:jc w:val="center"/>
              <w:rPr>
                <w:b/>
              </w:rPr>
            </w:pPr>
            <w:r>
              <w:rPr>
                <w:b/>
              </w:rPr>
              <w:t>Served as a</w:t>
              <w:br/>
              <w:t>Director Since</w:t>
            </w:r>
          </w:p>
        </w:tc>
        <w:tc>
          <w:tcPr>
            <w:tcW w:w="128" w:type="dxa"/>
            <w:tcBorders>
              <w:bottom w:val="single" w:sz="2" w:space="0" w:color="000000"/>
            </w:tcBorders>
            <w:tcMar>
              <w:bottom w:w="28" w:type="dxa"/>
            </w:tcMar>
            <w:vAlign w:val="bottom"/>
          </w:tcPr>
          <w:p>
            <w:pPr>
              <w:pStyle w:val="TableContents"/>
              <w:bidi w:val="0"/>
              <w:spacing w:before="0" w:after="283"/>
              <w:jc w:val="left"/>
              <w:rPr/>
            </w:pPr>
            <w:r>
              <w:rPr/>
              <w:t>  </w:t>
            </w:r>
          </w:p>
        </w:tc>
        <w:tc>
          <w:tcPr>
            <w:tcW w:w="5367" w:type="dxa"/>
            <w:tcBorders>
              <w:bottom w:val="single" w:sz="2" w:space="0" w:color="000000"/>
            </w:tcBorders>
            <w:tcMar>
              <w:bottom w:w="28" w:type="dxa"/>
            </w:tcMar>
            <w:vAlign w:val="bottom"/>
          </w:tcPr>
          <w:p>
            <w:pPr>
              <w:pStyle w:val="TableContents"/>
              <w:bidi w:val="0"/>
              <w:spacing w:before="0" w:after="283"/>
              <w:jc w:val="center"/>
              <w:rPr>
                <w:b/>
              </w:rPr>
            </w:pPr>
            <w:r>
              <w:rPr>
                <w:b/>
              </w:rPr>
              <w:t>Current Position(s) with Ouster</w:t>
            </w:r>
          </w:p>
        </w:tc>
      </w:tr>
      <w:tr>
        <w:trPr>
          <w:trHeight w:val="60" w:hRule="atLeast"/>
        </w:trPr>
        <w:tc>
          <w:tcPr>
            <w:tcW w:w="2444"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2444"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Susan Heystee</w:t>
            </w:r>
          </w:p>
        </w:tc>
        <w:tc>
          <w:tcPr>
            <w:tcW w:w="70" w:type="dxa"/>
            <w:tcBorders/>
            <w:shd w:fill="CCEEFF" w:val="clear"/>
            <w:vAlign w:val="bottom"/>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center"/>
              <w:rPr/>
            </w:pPr>
            <w:r>
              <w:rPr/>
              <w:t>2018</w:t>
            </w:r>
          </w:p>
        </w:tc>
        <w:tc>
          <w:tcPr>
            <w:tcW w:w="128" w:type="dxa"/>
            <w:tcBorders/>
            <w:shd w:fill="CCEEFF" w:val="clear"/>
            <w:vAlign w:val="bottom"/>
          </w:tcPr>
          <w:p>
            <w:pPr>
              <w:pStyle w:val="TableContents"/>
              <w:bidi w:val="0"/>
              <w:spacing w:before="0" w:after="283"/>
              <w:jc w:val="left"/>
              <w:rPr/>
            </w:pPr>
            <w:r>
              <w:rPr/>
              <w:t>  </w:t>
            </w:r>
          </w:p>
        </w:tc>
        <w:tc>
          <w:tcPr>
            <w:tcW w:w="5367" w:type="dxa"/>
            <w:tcBorders/>
            <w:shd w:fill="CCEEFF" w:val="clear"/>
            <w:vAlign w:val="center"/>
          </w:tcPr>
          <w:p>
            <w:pPr>
              <w:pStyle w:val="TableContents"/>
              <w:bidi w:val="0"/>
              <w:spacing w:before="0" w:after="283"/>
              <w:jc w:val="center"/>
              <w:rPr/>
            </w:pPr>
            <w:r>
              <w:rPr/>
              <w:t>Vice Chair of the Board</w:t>
            </w:r>
          </w:p>
        </w:tc>
      </w:tr>
      <w:tr>
        <w:trPr>
          <w:trHeight w:val="60" w:hRule="atLeast"/>
        </w:trPr>
        <w:tc>
          <w:tcPr>
            <w:tcW w:w="2444"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2444"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Angus Pacala</w:t>
            </w:r>
          </w:p>
        </w:tc>
        <w:tc>
          <w:tcPr>
            <w:tcW w:w="70" w:type="dxa"/>
            <w:tcBorders/>
            <w:vAlign w:val="bottom"/>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36</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83" w:type="dxa"/>
            <w:tcBorders/>
            <w:vAlign w:val="center"/>
          </w:tcPr>
          <w:p>
            <w:pPr>
              <w:pStyle w:val="TableContents"/>
              <w:bidi w:val="0"/>
              <w:spacing w:before="0" w:after="283"/>
              <w:jc w:val="center"/>
              <w:rPr/>
            </w:pPr>
            <w:r>
              <w:rPr/>
              <w:t>2015</w:t>
            </w:r>
          </w:p>
        </w:tc>
        <w:tc>
          <w:tcPr>
            <w:tcW w:w="128" w:type="dxa"/>
            <w:tcBorders/>
            <w:vAlign w:val="bottom"/>
          </w:tcPr>
          <w:p>
            <w:pPr>
              <w:pStyle w:val="TableContents"/>
              <w:bidi w:val="0"/>
              <w:spacing w:before="0" w:after="283"/>
              <w:jc w:val="left"/>
              <w:rPr/>
            </w:pPr>
            <w:r>
              <w:rPr/>
              <w:t>  </w:t>
            </w:r>
          </w:p>
        </w:tc>
        <w:tc>
          <w:tcPr>
            <w:tcW w:w="5367" w:type="dxa"/>
            <w:tcBorders/>
            <w:vAlign w:val="center"/>
          </w:tcPr>
          <w:p>
            <w:pPr>
              <w:pStyle w:val="TableContents"/>
              <w:bidi w:val="0"/>
              <w:spacing w:before="0" w:after="283"/>
              <w:jc w:val="center"/>
              <w:rPr/>
            </w:pPr>
            <w:r>
              <w:rPr/>
              <w:t>Director, Co-Founder and Chief Executive Officer</w:t>
            </w:r>
          </w:p>
        </w:tc>
      </w:tr>
      <w:tr>
        <w:trPr>
          <w:trHeight w:val="60" w:hRule="atLeast"/>
        </w:trPr>
        <w:tc>
          <w:tcPr>
            <w:tcW w:w="2444"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c>
          <w:tcPr>
            <w:tcW w:w="5495" w:type="dxa"/>
            <w:gridSpan w:val="2"/>
            <w:tcBorders/>
            <w:vAlign w:val="center"/>
          </w:tcPr>
          <w:p>
            <w:pPr>
              <w:pStyle w:val="TableContents"/>
              <w:bidi w:val="0"/>
              <w:spacing w:before="0" w:after="283"/>
              <w:jc w:val="left"/>
              <w:rPr>
                <w:sz w:val="4"/>
                <w:szCs w:val="4"/>
              </w:rPr>
            </w:pPr>
            <w:r>
              <w:rPr>
                <w:sz w:val="4"/>
                <w:szCs w:val="4"/>
              </w:rPr>
            </w:r>
          </w:p>
        </w:tc>
      </w:tr>
      <w:tr>
        <w:trPr/>
        <w:tc>
          <w:tcPr>
            <w:tcW w:w="2444" w:type="dxa"/>
            <w:tcBorders>
              <w:bottom w:val="single" w:sz="2" w:space="0" w:color="000000"/>
            </w:tcBorders>
            <w:shd w:fill="CCEEFF" w:val="clear"/>
            <w:tcMar>
              <w:bottom w:w="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Theodore L. Tewksbury, Ph.D.</w:t>
            </w:r>
          </w:p>
        </w:tc>
        <w:tc>
          <w:tcPr>
            <w:tcW w:w="7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9"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60" w:type="dxa"/>
            </w:tcMar>
            <w:vAlign w:val="center"/>
          </w:tcPr>
          <w:p>
            <w:pPr>
              <w:pStyle w:val="TableContents"/>
              <w:bidi w:val="0"/>
              <w:spacing w:before="0" w:after="283"/>
              <w:jc w:val="right"/>
              <w:rPr/>
            </w:pPr>
            <w:r>
              <w:rPr/>
              <w:t>67</w:t>
            </w:r>
          </w:p>
        </w:tc>
        <w:tc>
          <w:tcPr>
            <w:tcW w:w="60"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83" w:type="dxa"/>
            <w:tcBorders>
              <w:bottom w:val="single" w:sz="2" w:space="0" w:color="000000"/>
            </w:tcBorders>
            <w:shd w:fill="CCEEFF" w:val="clear"/>
            <w:tcMar>
              <w:bottom w:w="60" w:type="dxa"/>
            </w:tcMar>
            <w:vAlign w:val="center"/>
          </w:tcPr>
          <w:p>
            <w:pPr>
              <w:pStyle w:val="TableContents"/>
              <w:bidi w:val="0"/>
              <w:spacing w:before="0" w:after="283"/>
              <w:jc w:val="center"/>
              <w:rPr/>
            </w:pPr>
            <w:r>
              <w:rPr/>
              <w:t>2023</w:t>
            </w:r>
          </w:p>
        </w:tc>
        <w:tc>
          <w:tcPr>
            <w:tcW w:w="12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5367" w:type="dxa"/>
            <w:tcBorders>
              <w:bottom w:val="single" w:sz="2" w:space="0" w:color="000000"/>
            </w:tcBorders>
            <w:shd w:fill="CCEEFF" w:val="clear"/>
            <w:tcMar>
              <w:bottom w:w="60" w:type="dxa"/>
            </w:tcMar>
            <w:vAlign w:val="center"/>
          </w:tcPr>
          <w:p>
            <w:pPr>
              <w:pStyle w:val="TableContents"/>
              <w:bidi w:val="0"/>
              <w:spacing w:before="0" w:after="283"/>
              <w:jc w:val="center"/>
              <w:rPr/>
            </w:pPr>
            <w:r>
              <w:rPr/>
              <w:t>Chair of the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principal occupations and business experience, for at least the past five years, of each Class III Director nominee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4" w:type="dxa"/>
            <w:tcBorders>
              <w:top w:val="single" w:sz="2" w:space="0" w:color="000000"/>
            </w:tcBorders>
            <w:tcMar>
              <w:top w:w="28" w:type="dxa"/>
            </w:tcMar>
            <w:vAlign w:val="center"/>
          </w:tcPr>
          <w:p>
            <w:pPr>
              <w:pStyle w:val="TableContents"/>
              <w:bidi w:val="0"/>
              <w:spacing w:before="0" w:after="283"/>
              <w:jc w:val="left"/>
              <w:rPr/>
            </w:pPr>
            <w:r>
              <w:rPr/>
              <w:t> </w:t>
            </w:r>
          </w:p>
        </w:tc>
        <w:tc>
          <w:tcPr>
            <w:tcW w:w="5001"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4"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SUSAN HEYSTEE</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40" w:type="dxa"/>
            </w:tcMar>
            <w:vAlign w:val="center"/>
          </w:tcPr>
          <w:p>
            <w:pPr>
              <w:pStyle w:val="TableContents"/>
              <w:bidi w:val="0"/>
              <w:spacing w:before="0" w:after="283"/>
              <w:jc w:val="right"/>
              <w:rPr/>
            </w:pPr>
            <w:r>
              <w:rPr/>
              <w:t>Age 62</w:t>
            </w:r>
          </w:p>
        </w:tc>
      </w:tr>
    </w:tbl>
    <w:p>
      <w:pPr>
        <w:pStyle w:val="TextBody"/>
        <w:bidi w:val="0"/>
        <w:spacing w:before="240" w:after="0"/>
        <w:jc w:val="both"/>
        <w:rPr>
          <w:rFonts w:ascii="Times New Roman" w:hAnsi="Times New Roman"/>
          <w:sz w:val="20"/>
        </w:rPr>
      </w:pPr>
      <w:r>
        <w:rPr>
          <w:rFonts w:ascii="Times New Roman" w:hAnsi="Times New Roman"/>
          <w:b/>
          <w:i/>
          <w:sz w:val="20"/>
        </w:rPr>
        <w:t>Susan Heystee</w:t>
      </w:r>
      <w:r>
        <w:rPr>
          <w:rFonts w:ascii="Times New Roman" w:hAnsi="Times New Roman"/>
          <w:sz w:val="20"/>
        </w:rPr>
        <w:t xml:space="preserve"> has served as a member of our board of directors since September 2018. Ms. Heystee has served as Vice Chair of our Board since April 2024 and she previously served as our lead independent director from March 2023 until April 2024. From August 2021 to February 2023, Ms. Heystee served as the Chair of our Board. She also served as our Interim Chief Revenue Officer from January 2021 to July 2021. Previously, Ms. Heystee was Senior Vice President of Global Automotive Business at Verizon Connect from January 2017 to June 2018. Prior to that,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(NYSE: CHPT), a publicly-traded electric vehicle charging station company, since May 2021. Ms. Heystee holds Bachelors degrees in mathematics and business from the University of Waterloo and an Advanced Management Program Certificate from Harvard Business School. We believe that Ms. Heystee is qualified to serve as a member of our Board due to her extensive experience in the technology sector and knowledge of market driven strategies.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5" w:type="dxa"/>
            <w:tcBorders>
              <w:top w:val="single" w:sz="2" w:space="0" w:color="000000"/>
            </w:tcBorders>
            <w:tcMar>
              <w:top w:w="28" w:type="dxa"/>
            </w:tcMar>
            <w:vAlign w:val="center"/>
          </w:tcPr>
          <w:p>
            <w:pPr>
              <w:pStyle w:val="TableContents"/>
              <w:bidi w:val="0"/>
              <w:spacing w:before="0" w:after="283"/>
              <w:jc w:val="left"/>
              <w:rPr/>
            </w:pPr>
            <w:r>
              <w:rPr/>
              <w:t> </w:t>
            </w:r>
          </w:p>
        </w:tc>
        <w:tc>
          <w:tcPr>
            <w:tcW w:w="5000"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5"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ANGUS PACALA</w:t>
            </w:r>
          </w:p>
        </w:tc>
        <w:tc>
          <w:tcPr>
            <w:tcW w:w="2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40" w:type="dxa"/>
            </w:tcMar>
            <w:vAlign w:val="center"/>
          </w:tcPr>
          <w:p>
            <w:pPr>
              <w:pStyle w:val="TableContents"/>
              <w:bidi w:val="0"/>
              <w:spacing w:before="0" w:after="283"/>
              <w:jc w:val="right"/>
              <w:rPr/>
            </w:pPr>
            <w:r>
              <w:rPr/>
              <w:t>Age 36</w:t>
            </w:r>
          </w:p>
        </w:tc>
      </w:tr>
    </w:tbl>
    <w:p>
      <w:pPr>
        <w:pStyle w:val="TextBody"/>
        <w:bidi w:val="0"/>
        <w:spacing w:before="240" w:after="0"/>
        <w:jc w:val="both"/>
        <w:rPr>
          <w:rFonts w:ascii="Times New Roman" w:hAnsi="Times New Roman"/>
          <w:sz w:val="20"/>
        </w:rPr>
      </w:pPr>
      <w:r>
        <w:rPr>
          <w:rFonts w:ascii="Times New Roman" w:hAnsi="Times New Roman"/>
          <w:b/>
          <w:i/>
          <w:sz w:val="20"/>
        </w:rPr>
        <w:t>Angus Pacala</w:t>
      </w:r>
      <w:r>
        <w:rPr>
          <w:rFonts w:ascii="Times New Roman" w:hAnsi="Times New Roman"/>
          <w:sz w:val="20"/>
        </w:rPr>
        <w:t xml:space="preserve"> co-founded Ouster in June 2015 and has served as our Chief Executive Officer and director since 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due to his extensive technical background and his history as Ousters co-founder.</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5" w:type="dxa"/>
            <w:tcBorders>
              <w:top w:val="single" w:sz="2" w:space="0" w:color="000000"/>
            </w:tcBorders>
            <w:tcMar>
              <w:top w:w="28" w:type="dxa"/>
            </w:tcMar>
            <w:vAlign w:val="center"/>
          </w:tcPr>
          <w:p>
            <w:pPr>
              <w:pStyle w:val="TableContents"/>
              <w:bidi w:val="0"/>
              <w:spacing w:before="0" w:after="283"/>
              <w:jc w:val="left"/>
              <w:rPr/>
            </w:pPr>
            <w:r>
              <w:rPr/>
              <w:t> </w:t>
            </w:r>
          </w:p>
        </w:tc>
        <w:tc>
          <w:tcPr>
            <w:tcW w:w="5000"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5"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THEODORE L. TEWKSBURY, PH.D.</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40" w:type="dxa"/>
            </w:tcMar>
            <w:vAlign w:val="center"/>
          </w:tcPr>
          <w:p>
            <w:pPr>
              <w:pStyle w:val="TableContents"/>
              <w:bidi w:val="0"/>
              <w:spacing w:before="0" w:after="283"/>
              <w:jc w:val="right"/>
              <w:rPr/>
            </w:pPr>
            <w:r>
              <w:rPr/>
              <w:t>Age 67</w:t>
            </w:r>
          </w:p>
        </w:tc>
      </w:tr>
    </w:tbl>
    <w:p>
      <w:pPr>
        <w:pStyle w:val="TextBody"/>
        <w:bidi w:val="0"/>
        <w:spacing w:before="240" w:after="0"/>
        <w:jc w:val="both"/>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Tewksbury </w:t>
      </w:r>
      <w:r>
        <w:rPr>
          <w:rFonts w:ascii="Times New Roman" w:hAnsi="Times New Roman"/>
          <w:sz w:val="20"/>
        </w:rPr>
        <w:t xml:space="preserve">has served as Chair of our Board since April 2024 and previously served as Executive Chairperson of our Board from February 2023 to April 2024. Dr. Tewksbury served as Velodynes Executive Officer from November 2021 until February 2023. Prior to that, he was CEO of Eta Compute, a provider of ultra-low power AI vision systems, from August 2019 to November 2021. Dr. Tewksbury has been a director of Maxlinear, Inc. (Nasdaq: MXL), a mixed-signal semiconductor company, since May 2015, where he chairs the Cybersecurity Committee and serves on the Audit and Nominating and Governance committees. From February 2017 to March 2019, Dr. Tewksbury was Chairman and CEO of Energy Focus, Inc., a provider of high-performance LED lighting solutions. Dr. Tewksbury was a director of Entropic Communications from September 2010 and CEO from November 2014 until MaxLinears acquisition of Entropic in April 2015. From 2013 to November 2014, he was an independent consultant to technology companies. From 2008 to 2013, Dr. Tewksbury served as CEO of Integrated Device Technology, Inc. and, from 2006 to 2008, was CEO of AMI Semiconductor, both of which were public semiconductor companies. Prior to that, he held management and engineering leadership roles at Maxim Integrated Products, IBM Microelectronics and Analog Devices. Dr. Tewksbury was a member of the board of directors of the Global Semiconductor Alliance (GSA) from March 2011 to August 2013. Dr. Tewksbury holds a B.S. in Architecture and an M.S. and a Ph.D. in Electrical Engineering from the Massachusetts Institute of Technology. We believe that Dr. Tewksbury is qualified to serve as a member of our Board and as the Chair of our Board of Directors due to his industry knowledge and expensive experience as an executive and director for public technology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CONTINUING MEMBERS OF THE BOARD OF DIRECTORS: </w:t>
      </w:r>
    </w:p>
    <w:p>
      <w:pPr>
        <w:pStyle w:val="TextBody"/>
        <w:bidi w:val="0"/>
        <w:spacing w:before="0" w:after="0"/>
        <w:jc w:val="left"/>
        <w:rPr>
          <w:rFonts w:ascii="Times New Roman" w:hAnsi="Times New Roman"/>
          <w:b/>
          <w:sz w:val="20"/>
        </w:rPr>
      </w:pPr>
      <w:r>
        <w:rPr>
          <w:rFonts w:ascii="Times New Roman" w:hAnsi="Times New Roman"/>
          <w:b/>
          <w:sz w:val="20"/>
        </w:rPr>
        <w:t xml:space="preserve">CLASS I DIRECTORS (TERMS TO EXPIRE AT THE 2025 ANNUAL MEETING)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current members of the Board who are Class I Directors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4"/>
        <w:gridCol w:w="114"/>
        <w:gridCol w:w="79"/>
        <w:gridCol w:w="346"/>
        <w:gridCol w:w="60"/>
        <w:gridCol w:w="162"/>
        <w:gridCol w:w="2049"/>
        <w:gridCol w:w="162"/>
        <w:gridCol w:w="4789"/>
      </w:tblGrid>
      <w:tr>
        <w:trPr/>
        <w:tc>
          <w:tcPr>
            <w:tcW w:w="2444"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4789" w:type="dxa"/>
            <w:tcBorders/>
            <w:vAlign w:val="center"/>
          </w:tcPr>
          <w:p>
            <w:pPr>
              <w:pStyle w:val="TableContents"/>
              <w:bidi w:val="0"/>
              <w:spacing w:before="0" w:after="283"/>
              <w:jc w:val="left"/>
              <w:rPr>
                <w:sz w:val="4"/>
                <w:szCs w:val="4"/>
              </w:rPr>
            </w:pPr>
            <w:r>
              <w:rPr>
                <w:sz w:val="4"/>
                <w:szCs w:val="4"/>
              </w:rPr>
            </w:r>
          </w:p>
        </w:tc>
      </w:tr>
      <w:tr>
        <w:trPr/>
        <w:tc>
          <w:tcPr>
            <w:tcW w:w="2444" w:type="dxa"/>
            <w:tcBorders>
              <w:bottom w:val="single" w:sz="2" w:space="0" w:color="000000"/>
            </w:tcBorders>
            <w:tcMar>
              <w:bottom w:w="28" w:type="dxa"/>
            </w:tcMar>
            <w:vAlign w:val="bottom"/>
          </w:tcPr>
          <w:p>
            <w:pPr>
              <w:pStyle w:val="TableContents"/>
              <w:bidi w:val="0"/>
              <w:spacing w:before="0" w:after="283"/>
              <w:jc w:val="center"/>
              <w:rPr>
                <w:b/>
              </w:rPr>
            </w:pPr>
            <w:r>
              <w:rPr>
                <w:b/>
              </w:rPr>
              <w:t>Name</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4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c>
          <w:tcPr>
            <w:tcW w:w="2049" w:type="dxa"/>
            <w:tcBorders>
              <w:bottom w:val="single" w:sz="2" w:space="0" w:color="000000"/>
            </w:tcBorders>
            <w:tcMar>
              <w:bottom w:w="28" w:type="dxa"/>
            </w:tcMar>
            <w:vAlign w:val="bottom"/>
          </w:tcPr>
          <w:p>
            <w:pPr>
              <w:pStyle w:val="TableContents"/>
              <w:bidi w:val="0"/>
              <w:spacing w:before="0" w:after="283"/>
              <w:jc w:val="center"/>
              <w:rPr>
                <w:b/>
              </w:rPr>
            </w:pPr>
            <w:r>
              <w:rPr>
                <w:b/>
              </w:rPr>
              <w:t>Served as a</w:t>
              <w:br/>
              <w:t>Director Since</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c>
          <w:tcPr>
            <w:tcW w:w="4789" w:type="dxa"/>
            <w:tcBorders>
              <w:bottom w:val="single" w:sz="2" w:space="0" w:color="000000"/>
            </w:tcBorders>
            <w:tcMar>
              <w:bottom w:w="28" w:type="dxa"/>
            </w:tcMar>
            <w:vAlign w:val="bottom"/>
          </w:tcPr>
          <w:p>
            <w:pPr>
              <w:pStyle w:val="TableContents"/>
              <w:bidi w:val="0"/>
              <w:spacing w:before="0" w:after="283"/>
              <w:jc w:val="center"/>
              <w:rPr>
                <w:b/>
              </w:rPr>
            </w:pPr>
            <w:r>
              <w:rPr>
                <w:b/>
              </w:rPr>
              <w:t>Current Position(s) with Ouster</w:t>
            </w:r>
          </w:p>
        </w:tc>
      </w:tr>
      <w:tr>
        <w:trPr>
          <w:trHeight w:val="60" w:hRule="atLeast"/>
        </w:trPr>
        <w:tc>
          <w:tcPr>
            <w:tcW w:w="2444" w:type="dxa"/>
            <w:tcBorders/>
            <w:vAlign w:val="center"/>
          </w:tcPr>
          <w:p>
            <w:pPr>
              <w:pStyle w:val="TableContents"/>
              <w:bidi w:val="0"/>
              <w:spacing w:before="0" w:after="283"/>
              <w:jc w:val="left"/>
              <w:rPr>
                <w:sz w:val="4"/>
                <w:szCs w:val="4"/>
              </w:rPr>
            </w:pPr>
            <w:r>
              <w:rPr>
                <w:sz w:val="4"/>
                <w:szCs w:val="4"/>
              </w:rPr>
            </w:r>
          </w:p>
        </w:tc>
        <w:tc>
          <w:tcPr>
            <w:tcW w:w="599" w:type="dxa"/>
            <w:gridSpan w:val="4"/>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r>
      <w:tr>
        <w:trPr/>
        <w:tc>
          <w:tcPr>
            <w:tcW w:w="2444"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Karin Rådström</w:t>
            </w:r>
          </w:p>
        </w:tc>
        <w:tc>
          <w:tcPr>
            <w:tcW w:w="114" w:type="dxa"/>
            <w:tcBorders/>
            <w:shd w:fill="CCEEFF" w:val="clear"/>
            <w:vAlign w:val="bottom"/>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49" w:type="dxa"/>
            <w:tcBorders/>
            <w:shd w:fill="CCEEFF" w:val="clear"/>
            <w:vAlign w:val="center"/>
          </w:tcPr>
          <w:p>
            <w:pPr>
              <w:pStyle w:val="TableContents"/>
              <w:bidi w:val="0"/>
              <w:spacing w:before="0" w:after="283"/>
              <w:jc w:val="center"/>
              <w:rPr/>
            </w:pPr>
            <w:r>
              <w:rPr/>
              <w:t>2021</w:t>
            </w:r>
          </w:p>
        </w:tc>
        <w:tc>
          <w:tcPr>
            <w:tcW w:w="162" w:type="dxa"/>
            <w:tcBorders/>
            <w:shd w:fill="CCEEFF" w:val="clear"/>
            <w:vAlign w:val="bottom"/>
          </w:tcPr>
          <w:p>
            <w:pPr>
              <w:pStyle w:val="TableContents"/>
              <w:bidi w:val="0"/>
              <w:spacing w:before="0" w:after="283"/>
              <w:jc w:val="left"/>
              <w:rPr/>
            </w:pPr>
            <w:r>
              <w:rPr/>
              <w:t>  </w:t>
            </w:r>
          </w:p>
        </w:tc>
        <w:tc>
          <w:tcPr>
            <w:tcW w:w="4789" w:type="dxa"/>
            <w:tcBorders/>
            <w:shd w:fill="CCEEFF" w:val="clear"/>
            <w:vAlign w:val="center"/>
          </w:tcPr>
          <w:p>
            <w:pPr>
              <w:pStyle w:val="TableContents"/>
              <w:bidi w:val="0"/>
              <w:spacing w:before="0" w:after="283"/>
              <w:jc w:val="center"/>
              <w:rPr/>
            </w:pPr>
            <w:r>
              <w:rPr/>
              <w:t>Director</w:t>
            </w:r>
          </w:p>
        </w:tc>
      </w:tr>
      <w:tr>
        <w:trPr>
          <w:trHeight w:val="60" w:hRule="atLeast"/>
        </w:trPr>
        <w:tc>
          <w:tcPr>
            <w:tcW w:w="2444" w:type="dxa"/>
            <w:tcBorders/>
            <w:vAlign w:val="center"/>
          </w:tcPr>
          <w:p>
            <w:pPr>
              <w:pStyle w:val="TableContents"/>
              <w:bidi w:val="0"/>
              <w:spacing w:before="0" w:after="283"/>
              <w:jc w:val="left"/>
              <w:rPr>
                <w:sz w:val="4"/>
                <w:szCs w:val="4"/>
              </w:rPr>
            </w:pPr>
            <w:r>
              <w:rPr>
                <w:sz w:val="4"/>
                <w:szCs w:val="4"/>
              </w:rPr>
            </w:r>
          </w:p>
        </w:tc>
        <w:tc>
          <w:tcPr>
            <w:tcW w:w="599" w:type="dxa"/>
            <w:gridSpan w:val="4"/>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r>
      <w:tr>
        <w:trPr/>
        <w:tc>
          <w:tcPr>
            <w:tcW w:w="2444"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Kristin Slanina</w:t>
            </w:r>
          </w:p>
        </w:tc>
        <w:tc>
          <w:tcPr>
            <w:tcW w:w="114" w:type="dxa"/>
            <w:tcBorders/>
            <w:vAlign w:val="bottom"/>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49" w:type="dxa"/>
            <w:tcBorders/>
            <w:vAlign w:val="center"/>
          </w:tcPr>
          <w:p>
            <w:pPr>
              <w:pStyle w:val="TableContents"/>
              <w:bidi w:val="0"/>
              <w:spacing w:before="0" w:after="283"/>
              <w:jc w:val="center"/>
              <w:rPr/>
            </w:pPr>
            <w:r>
              <w:rPr/>
              <w:t>2023</w:t>
            </w:r>
          </w:p>
        </w:tc>
        <w:tc>
          <w:tcPr>
            <w:tcW w:w="162" w:type="dxa"/>
            <w:tcBorders/>
            <w:vAlign w:val="bottom"/>
          </w:tcPr>
          <w:p>
            <w:pPr>
              <w:pStyle w:val="TableContents"/>
              <w:bidi w:val="0"/>
              <w:spacing w:before="0" w:after="283"/>
              <w:jc w:val="left"/>
              <w:rPr/>
            </w:pPr>
            <w:r>
              <w:rPr/>
              <w:t>  </w:t>
            </w:r>
          </w:p>
        </w:tc>
        <w:tc>
          <w:tcPr>
            <w:tcW w:w="4789" w:type="dxa"/>
            <w:tcBorders/>
            <w:vAlign w:val="center"/>
          </w:tcPr>
          <w:p>
            <w:pPr>
              <w:pStyle w:val="TableContents"/>
              <w:bidi w:val="0"/>
              <w:spacing w:before="0" w:after="283"/>
              <w:jc w:val="center"/>
              <w:rPr/>
            </w:pPr>
            <w:r>
              <w:rPr/>
              <w:t>Director</w:t>
            </w:r>
          </w:p>
        </w:tc>
      </w:tr>
      <w:tr>
        <w:trPr>
          <w:trHeight w:val="60" w:hRule="atLeast"/>
        </w:trPr>
        <w:tc>
          <w:tcPr>
            <w:tcW w:w="2444" w:type="dxa"/>
            <w:tcBorders/>
            <w:vAlign w:val="center"/>
          </w:tcPr>
          <w:p>
            <w:pPr>
              <w:pStyle w:val="TableContents"/>
              <w:bidi w:val="0"/>
              <w:spacing w:before="0" w:after="283"/>
              <w:jc w:val="left"/>
              <w:rPr>
                <w:sz w:val="4"/>
                <w:szCs w:val="4"/>
              </w:rPr>
            </w:pPr>
            <w:r>
              <w:rPr>
                <w:sz w:val="4"/>
                <w:szCs w:val="4"/>
              </w:rPr>
            </w:r>
          </w:p>
        </w:tc>
        <w:tc>
          <w:tcPr>
            <w:tcW w:w="599" w:type="dxa"/>
            <w:gridSpan w:val="4"/>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c>
          <w:tcPr>
            <w:tcW w:w="4951" w:type="dxa"/>
            <w:gridSpan w:val="2"/>
            <w:tcBorders/>
            <w:vAlign w:val="center"/>
          </w:tcPr>
          <w:p>
            <w:pPr>
              <w:pStyle w:val="TableContents"/>
              <w:bidi w:val="0"/>
              <w:spacing w:before="0" w:after="283"/>
              <w:jc w:val="left"/>
              <w:rPr>
                <w:sz w:val="4"/>
                <w:szCs w:val="4"/>
              </w:rPr>
            </w:pPr>
            <w:r>
              <w:rPr>
                <w:sz w:val="4"/>
                <w:szCs w:val="4"/>
              </w:rPr>
            </w:r>
          </w:p>
        </w:tc>
      </w:tr>
      <w:tr>
        <w:trPr/>
        <w:tc>
          <w:tcPr>
            <w:tcW w:w="2444" w:type="dxa"/>
            <w:tcBorders>
              <w:bottom w:val="single" w:sz="2" w:space="0" w:color="000000"/>
            </w:tcBorders>
            <w:shd w:fill="CCEEFF" w:val="clear"/>
            <w:tcMar>
              <w:bottom w:w="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Ernest E. Maddock   </w:t>
            </w:r>
          </w:p>
        </w:tc>
        <w:tc>
          <w:tcPr>
            <w:tcW w:w="11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9"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60" w:type="dxa"/>
            </w:tcMar>
            <w:vAlign w:val="center"/>
          </w:tcPr>
          <w:p>
            <w:pPr>
              <w:pStyle w:val="TableContents"/>
              <w:bidi w:val="0"/>
              <w:spacing w:before="0" w:after="283"/>
              <w:jc w:val="right"/>
              <w:rPr/>
            </w:pPr>
            <w:r>
              <w:rPr/>
              <w:t>66</w:t>
            </w:r>
          </w:p>
        </w:tc>
        <w:tc>
          <w:tcPr>
            <w:tcW w:w="60" w:type="dxa"/>
            <w:tcBorders>
              <w:bottom w:val="single" w:sz="2" w:space="0" w:color="000000"/>
            </w:tcBorders>
            <w:shd w:fill="CCEEFF" w:val="clear"/>
            <w:tcMar>
              <w:bottom w:w="60" w:type="dxa"/>
            </w:tcM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49" w:type="dxa"/>
            <w:tcBorders>
              <w:bottom w:val="single" w:sz="2" w:space="0" w:color="000000"/>
            </w:tcBorders>
            <w:shd w:fill="CCEEFF" w:val="clear"/>
            <w:tcMar>
              <w:bottom w:w="60" w:type="dxa"/>
            </w:tcMar>
            <w:vAlign w:val="center"/>
          </w:tcPr>
          <w:p>
            <w:pPr>
              <w:pStyle w:val="TableContents"/>
              <w:bidi w:val="0"/>
              <w:spacing w:before="0" w:after="283"/>
              <w:jc w:val="center"/>
              <w:rPr/>
            </w:pPr>
            <w:r>
              <w:rPr/>
              <w:t>2023</w:t>
            </w:r>
          </w:p>
        </w:tc>
        <w:tc>
          <w:tcPr>
            <w:tcW w:w="16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789" w:type="dxa"/>
            <w:tcBorders>
              <w:bottom w:val="single" w:sz="2" w:space="0" w:color="000000"/>
            </w:tcBorders>
            <w:shd w:fill="CCEEFF" w:val="clear"/>
            <w:tcMar>
              <w:bottom w:w="60" w:type="dxa"/>
            </w:tcMar>
            <w:vAlign w:val="center"/>
          </w:tcPr>
          <w:p>
            <w:pPr>
              <w:pStyle w:val="TableContents"/>
              <w:bidi w:val="0"/>
              <w:spacing w:before="0" w:after="283"/>
              <w:jc w:val="center"/>
              <w:rPr/>
            </w:pPr>
            <w:r>
              <w:rPr/>
              <w:t>Director</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principal occupations and business experience, for at least the past five years, of each Class I Director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5" w:type="dxa"/>
            <w:tcBorders>
              <w:top w:val="single" w:sz="2" w:space="0" w:color="000000"/>
            </w:tcBorders>
            <w:tcMar>
              <w:top w:w="28" w:type="dxa"/>
            </w:tcMar>
            <w:vAlign w:val="center"/>
          </w:tcPr>
          <w:p>
            <w:pPr>
              <w:pStyle w:val="TableContents"/>
              <w:bidi w:val="0"/>
              <w:spacing w:before="0" w:after="283"/>
              <w:jc w:val="left"/>
              <w:rPr/>
            </w:pPr>
            <w:r>
              <w:rPr/>
              <w:t> </w:t>
            </w:r>
          </w:p>
        </w:tc>
        <w:tc>
          <w:tcPr>
            <w:tcW w:w="5000"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5"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KARIN RÅDSTRÖM</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40" w:type="dxa"/>
            </w:tcMar>
            <w:vAlign w:val="center"/>
          </w:tcPr>
          <w:p>
            <w:pPr>
              <w:pStyle w:val="TableContents"/>
              <w:bidi w:val="0"/>
              <w:spacing w:before="0" w:after="283"/>
              <w:jc w:val="right"/>
              <w:rPr/>
            </w:pPr>
            <w:r>
              <w:rPr/>
              <w:t>Age 45</w:t>
            </w:r>
          </w:p>
        </w:tc>
      </w:tr>
    </w:tbl>
    <w:p>
      <w:pPr>
        <w:pStyle w:val="TextBody"/>
        <w:bidi w:val="0"/>
        <w:spacing w:before="240" w:after="0"/>
        <w:jc w:val="both"/>
        <w:rPr>
          <w:rFonts w:ascii="Times New Roman" w:hAnsi="Times New Roman"/>
          <w:sz w:val="20"/>
        </w:rPr>
      </w:pPr>
      <w:r>
        <w:rPr>
          <w:rFonts w:ascii="Times New Roman" w:hAnsi="Times New Roman"/>
          <w:b/>
          <w:i/>
          <w:sz w:val="20"/>
        </w:rPr>
        <w:t>Karin Rådström</w:t>
      </w:r>
      <w:r>
        <w:rPr>
          <w:rFonts w:ascii="Times New Roman" w:hAnsi="Times New Roman"/>
          <w:sz w:val="20"/>
        </w:rPr>
        <w:t xml:space="preserve"> has served as a member of our Board since October 2021. Ms. Rådström has been serving as Chief Executive Officer of Mercedes-Benz Trucks, a commercial vehicle manufacturer, and a member of the Board of Management of Daimler Truck AG, Germany since February 2021 and as a member of the Supervisory Board of Piab AB, Sweden, a manufacturer of vacuum pumps, since June 2019. From March 2019 to January 2021, Ms. Rådström served as Head of Sales and Marketing and as a member of the Executive Board of Scania CV AB (Scania), a commercial vehicle manufacturer. She previously served as Senior Vice President, Head of Buses and Coaches of Scania from November 2016 to February 2019 and as Director of Pre-Sales and Marketing Communication of Scania East Africa Ltd. from October 2014 to December 2015. Ms. Rådström has a degree in Industrial Engineering from the Royal Institute of Technology, Stockholm, Sweden. Ms. Rådström brings significant experience from managing a global commercial vehicle manufacturer to the Companys Board and her broad knowledge on technological transformation in the automotive industry is beneficial to Ousters Board, specifically in the development of Ousters ADAS/automotive strategy.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4" w:type="dxa"/>
            <w:tcBorders>
              <w:top w:val="single" w:sz="2" w:space="0" w:color="000000"/>
            </w:tcBorders>
            <w:tcMar>
              <w:top w:w="28" w:type="dxa"/>
            </w:tcMar>
            <w:vAlign w:val="center"/>
          </w:tcPr>
          <w:p>
            <w:pPr>
              <w:pStyle w:val="TableContents"/>
              <w:bidi w:val="0"/>
              <w:spacing w:before="0" w:after="283"/>
              <w:jc w:val="left"/>
              <w:rPr/>
            </w:pPr>
            <w:r>
              <w:rPr/>
              <w:t> </w:t>
            </w:r>
          </w:p>
        </w:tc>
        <w:tc>
          <w:tcPr>
            <w:tcW w:w="5001"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4"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KRISTIN SLANINA</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40" w:type="dxa"/>
            </w:tcMar>
            <w:vAlign w:val="center"/>
          </w:tcPr>
          <w:p>
            <w:pPr>
              <w:pStyle w:val="TableContents"/>
              <w:bidi w:val="0"/>
              <w:spacing w:before="0" w:after="283"/>
              <w:jc w:val="right"/>
              <w:rPr/>
            </w:pPr>
            <w:r>
              <w:rPr/>
              <w:t>Age 54</w:t>
            </w:r>
          </w:p>
        </w:tc>
      </w:tr>
    </w:tbl>
    <w:p>
      <w:pPr>
        <w:pStyle w:val="TextBody"/>
        <w:bidi w:val="0"/>
        <w:spacing w:before="240" w:after="0"/>
        <w:jc w:val="both"/>
        <w:rPr>
          <w:rFonts w:ascii="Times New Roman" w:hAnsi="Times New Roman"/>
          <w:sz w:val="20"/>
        </w:rPr>
      </w:pPr>
      <w:r>
        <w:rPr>
          <w:rFonts w:ascii="Times New Roman" w:hAnsi="Times New Roman"/>
          <w:b/>
          <w:i/>
          <w:sz w:val="20"/>
        </w:rPr>
        <w:t>Kristin Slanina</w:t>
      </w:r>
      <w:r>
        <w:rPr>
          <w:rFonts w:ascii="Times New Roman" w:hAnsi="Times New Roman"/>
          <w:sz w:val="20"/>
        </w:rPr>
        <w:t xml:space="preserve"> has served as a member of our Board since February 2023. Ms. Slanina is the Chief Innovation Officer at ParkMyFleet, a provider of parking locations and technology solutions for fleet operations, a position she has held since March 2021. Previously, she served as Chief Operating Officer of TrueCar, an automotive pricing and information website for new and used car buyers, from September 2020 to March 2021 where she led the newly formed solutions group and helped the company accelerate into its next phase of growth. Before TrueCar, she was Chief Transformation Officer of Thirdware Consulting, an IT consulting organization, from January 2019 to September 2020, where she led the Emerging Technology group and paved the way for Thirdwares status as a Tier 1 partner with Ford and other OEMs on vehicle software development, machine learning and blockchain technology. Prior, Ms. Slanina has held roles of increasing responsibility at Ernst &amp; Young, a global professional services firm, and Fiat Chrysler Automobiles, a manufacturer of automobiles, after spending the first 18 years of her career at Ford Motor Company, beginning as a powertrain engineer. Ms. Slanina has served on the Board of Comstock Inc. (NYSE: LODE) since May 2022. Previously, Ms. Slanina served on the board of Velodyne from July 2021 to February 2023. She holds an M.S. and a B.S. in Mechanical Engineering from Massachusetts Institute of Technology. We believe Ms. Slanina is qualified to serve on our Board due to her broad knowledge of the technology industry as well as her extensive operational experience within the technology sector.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5" w:type="dxa"/>
            <w:tcBorders>
              <w:top w:val="single" w:sz="2" w:space="0" w:color="000000"/>
            </w:tcBorders>
            <w:tcMar>
              <w:top w:w="28" w:type="dxa"/>
            </w:tcMar>
            <w:vAlign w:val="center"/>
          </w:tcPr>
          <w:p>
            <w:pPr>
              <w:pStyle w:val="TableContents"/>
              <w:bidi w:val="0"/>
              <w:spacing w:before="0" w:after="283"/>
              <w:jc w:val="left"/>
              <w:rPr/>
            </w:pPr>
            <w:r>
              <w:rPr/>
              <w:t> </w:t>
            </w:r>
          </w:p>
        </w:tc>
        <w:tc>
          <w:tcPr>
            <w:tcW w:w="5000"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5"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ERNEST E. MADDOCK</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40" w:type="dxa"/>
            </w:tcMar>
            <w:vAlign w:val="center"/>
          </w:tcPr>
          <w:p>
            <w:pPr>
              <w:pStyle w:val="TableContents"/>
              <w:bidi w:val="0"/>
              <w:spacing w:before="0" w:after="283"/>
              <w:jc w:val="right"/>
              <w:rPr/>
            </w:pPr>
            <w:r>
              <w:rPr/>
              <w:t>Age 66</w:t>
            </w:r>
          </w:p>
        </w:tc>
      </w:tr>
    </w:tbl>
    <w:p>
      <w:pPr>
        <w:pStyle w:val="TextBody"/>
        <w:bidi w:val="0"/>
        <w:spacing w:before="240" w:after="0"/>
        <w:jc w:val="both"/>
        <w:rPr>
          <w:rFonts w:ascii="Times New Roman" w:hAnsi="Times New Roman"/>
          <w:sz w:val="20"/>
        </w:rPr>
      </w:pPr>
      <w:r>
        <w:rPr>
          <w:rFonts w:ascii="Times New Roman" w:hAnsi="Times New Roman"/>
          <w:b/>
          <w:i/>
          <w:sz w:val="20"/>
        </w:rPr>
        <w:t>Ernest E. Maddock</w:t>
      </w:r>
      <w:r>
        <w:rPr>
          <w:rFonts w:ascii="Times New Roman" w:hAnsi="Times New Roman"/>
          <w:sz w:val="20"/>
        </w:rPr>
        <w:t xml:space="preserve"> has served as a member of our Board since February 2023. Mr. Maddock served as Chief Financial Officer of Micron Technology, Inc., a semiconductor manufacturing company, from 2015 until his retirement in 2018. Prior to that, he served as Executive Vice President and Chief Financial Officer of Riverbed Technology, Inc., an information technology company, from 2013 to 2015. From 1997 to 2013, Mr. Maddock served in various roles at the semiconductor capital equipment company Lam Research Corporation, culminating in the position of Chief Financial Officer from 2008 to 2013. Mr. Maddock has served on the boards of directors of Ultra Clean Holdings Inc. (Nasdaq: UCTT), a semiconductor manufacturing company, since June 2018, Avnet (Nasdaq: AVT), a technology distribution company, since August 2021 and Teradyne (Nasdaq: TER), a semiconductor capital equipment and robotics company, since November 2022. Mr. Maddock previously served on the Board of Intersil Corporation (Nasdaq: ISIL), a semiconductor company, from 2015 until its acquisition in 2017. Mr. Maddock received a BS in Industrial Management from the Georgia Institute of Technology and an MBA with a specialization in Finance from Georgia State University. We believe that Mr. Maddock is qualified to serve as a member of our Board due to his experience as a director and financial officer for multiple public technology companies and his decades of finance and operations experience in high tech businesses. </w:t>
      </w:r>
    </w:p>
    <w:p>
      <w:pPr>
        <w:pStyle w:val="TextBody"/>
        <w:bidi w:val="0"/>
        <w:spacing w:before="240" w:after="0"/>
        <w:jc w:val="left"/>
        <w:rPr>
          <w:rFonts w:ascii="Times New Roman" w:hAnsi="Times New Roman"/>
          <w:b/>
          <w:sz w:val="20"/>
        </w:rPr>
      </w:pPr>
      <w:r>
        <w:rPr>
          <w:rFonts w:ascii="Times New Roman" w:hAnsi="Times New Roman"/>
          <w:b/>
          <w:sz w:val="20"/>
        </w:rPr>
        <w:t xml:space="preserve">CONTINUING MEMBERS OF THE BOARD OF DIRECTORS: </w:t>
      </w:r>
    </w:p>
    <w:p>
      <w:pPr>
        <w:pStyle w:val="TextBody"/>
        <w:bidi w:val="0"/>
        <w:spacing w:before="0" w:after="0"/>
        <w:jc w:val="left"/>
        <w:rPr>
          <w:rFonts w:ascii="Times New Roman" w:hAnsi="Times New Roman"/>
          <w:b/>
          <w:sz w:val="20"/>
        </w:rPr>
      </w:pPr>
      <w:r>
        <w:rPr>
          <w:rFonts w:ascii="Times New Roman" w:hAnsi="Times New Roman"/>
          <w:b/>
          <w:sz w:val="20"/>
        </w:rPr>
        <w:t xml:space="preserve">CLASS II DIRECTORS (TERMS TO EXPIRE AT THE 2026 ANNUAL MEETING)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current members of the Board who are Class II Directors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0"/>
        <w:gridCol w:w="210"/>
        <w:gridCol w:w="925"/>
        <w:gridCol w:w="304"/>
        <w:gridCol w:w="1502"/>
        <w:gridCol w:w="491"/>
        <w:gridCol w:w="4963"/>
      </w:tblGrid>
      <w:tr>
        <w:trPr/>
        <w:tc>
          <w:tcPr>
            <w:tcW w:w="181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4963" w:type="dxa"/>
            <w:tcBorders/>
            <w:vAlign w:val="center"/>
          </w:tcPr>
          <w:p>
            <w:pPr>
              <w:pStyle w:val="TableContents"/>
              <w:bidi w:val="0"/>
              <w:spacing w:before="0" w:after="283"/>
              <w:jc w:val="left"/>
              <w:rPr>
                <w:sz w:val="4"/>
                <w:szCs w:val="4"/>
              </w:rPr>
            </w:pPr>
            <w:r>
              <w:rPr>
                <w:sz w:val="4"/>
                <w:szCs w:val="4"/>
              </w:rPr>
            </w:r>
          </w:p>
        </w:tc>
      </w:tr>
      <w:tr>
        <w:trPr/>
        <w:tc>
          <w:tcPr>
            <w:tcW w:w="1810" w:type="dxa"/>
            <w:tcBorders>
              <w:bottom w:val="single" w:sz="2" w:space="0" w:color="000000"/>
            </w:tcBorders>
            <w:tcMar>
              <w:bottom w:w="28" w:type="dxa"/>
            </w:tcMar>
            <w:vAlign w:val="bottom"/>
          </w:tcPr>
          <w:p>
            <w:pPr>
              <w:pStyle w:val="TableContents"/>
              <w:bidi w:val="0"/>
              <w:spacing w:before="0" w:after="283"/>
              <w:jc w:val="center"/>
              <w:rPr>
                <w:b/>
              </w:rPr>
            </w:pPr>
            <w:r>
              <w:rPr>
                <w:b/>
              </w:rPr>
              <w:t>Name</w:t>
            </w:r>
          </w:p>
        </w:tc>
        <w:tc>
          <w:tcPr>
            <w:tcW w:w="210" w:type="dxa"/>
            <w:tcBorders>
              <w:bottom w:val="single" w:sz="2" w:space="0" w:color="000000"/>
            </w:tcBorders>
            <w:tcMar>
              <w:bottom w:w="28" w:type="dxa"/>
            </w:tcMar>
            <w:vAlign w:val="bottom"/>
          </w:tcPr>
          <w:p>
            <w:pPr>
              <w:pStyle w:val="TableContents"/>
              <w:bidi w:val="0"/>
              <w:spacing w:before="0" w:after="283"/>
              <w:jc w:val="left"/>
              <w:rPr/>
            </w:pPr>
            <w:r>
              <w:rPr/>
              <w:t>  </w:t>
            </w:r>
          </w:p>
        </w:tc>
        <w:tc>
          <w:tcPr>
            <w:tcW w:w="925" w:type="dxa"/>
            <w:tcBorders>
              <w:bottom w:val="single" w:sz="2" w:space="0" w:color="000000"/>
            </w:tcBorders>
            <w:tcMar>
              <w:bottom w:w="28" w:type="dxa"/>
            </w:tcMar>
            <w:vAlign w:val="bottom"/>
          </w:tcPr>
          <w:p>
            <w:pPr>
              <w:pStyle w:val="TableContents"/>
              <w:bidi w:val="0"/>
              <w:spacing w:before="0" w:after="283"/>
              <w:jc w:val="center"/>
              <w:rPr>
                <w:b/>
              </w:rPr>
            </w:pPr>
            <w:r>
              <w:rPr>
                <w:b/>
              </w:rPr>
              <w:t>Age </w:t>
            </w:r>
          </w:p>
        </w:tc>
        <w:tc>
          <w:tcPr>
            <w:tcW w:w="304"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vAlign w:val="bottom"/>
          </w:tcPr>
          <w:p>
            <w:pPr>
              <w:pStyle w:val="TableContents"/>
              <w:bidi w:val="0"/>
              <w:spacing w:before="0" w:after="283"/>
              <w:jc w:val="center"/>
              <w:rPr>
                <w:b/>
              </w:rPr>
            </w:pPr>
            <w:r>
              <w:rPr>
                <w:b/>
              </w:rPr>
              <w:t>Served as a</w:t>
              <w:br/>
              <w:t>Director Since</w:t>
            </w:r>
          </w:p>
        </w:tc>
        <w:tc>
          <w:tcPr>
            <w:tcW w:w="491" w:type="dxa"/>
            <w:tcBorders>
              <w:bottom w:val="single" w:sz="2" w:space="0" w:color="000000"/>
            </w:tcBorders>
            <w:tcMar>
              <w:bottom w:w="28" w:type="dxa"/>
            </w:tcMar>
            <w:vAlign w:val="bottom"/>
          </w:tcPr>
          <w:p>
            <w:pPr>
              <w:pStyle w:val="TableContents"/>
              <w:bidi w:val="0"/>
              <w:spacing w:before="0" w:after="283"/>
              <w:jc w:val="left"/>
              <w:rPr/>
            </w:pPr>
            <w:r>
              <w:rPr/>
              <w:t>  </w:t>
            </w:r>
          </w:p>
        </w:tc>
        <w:tc>
          <w:tcPr>
            <w:tcW w:w="4963" w:type="dxa"/>
            <w:tcBorders>
              <w:bottom w:val="single" w:sz="2" w:space="0" w:color="000000"/>
            </w:tcBorders>
            <w:tcMar>
              <w:bottom w:w="28" w:type="dxa"/>
            </w:tcMar>
            <w:vAlign w:val="bottom"/>
          </w:tcPr>
          <w:p>
            <w:pPr>
              <w:pStyle w:val="TableContents"/>
              <w:bidi w:val="0"/>
              <w:spacing w:before="0" w:after="283"/>
              <w:jc w:val="center"/>
              <w:rPr>
                <w:b/>
              </w:rPr>
            </w:pPr>
            <w:r>
              <w:rPr>
                <w:b/>
              </w:rPr>
              <w:t>Current Position(s) with Ouster</w:t>
            </w:r>
          </w:p>
        </w:tc>
      </w:tr>
      <w:tr>
        <w:trPr>
          <w:trHeight w:val="60" w:hRule="atLeast"/>
        </w:trPr>
        <w:tc>
          <w:tcPr>
            <w:tcW w:w="1810" w:type="dxa"/>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c>
          <w:tcPr>
            <w:tcW w:w="1806" w:type="dxa"/>
            <w:gridSpan w:val="2"/>
            <w:tcBorders/>
            <w:vAlign w:val="center"/>
          </w:tcPr>
          <w:p>
            <w:pPr>
              <w:pStyle w:val="TableContents"/>
              <w:bidi w:val="0"/>
              <w:spacing w:before="0" w:after="283"/>
              <w:jc w:val="left"/>
              <w:rPr>
                <w:sz w:val="4"/>
                <w:szCs w:val="4"/>
              </w:rPr>
            </w:pPr>
            <w:r>
              <w:rPr>
                <w:sz w:val="4"/>
                <w:szCs w:val="4"/>
              </w:rPr>
            </w:r>
          </w:p>
        </w:tc>
        <w:tc>
          <w:tcPr>
            <w:tcW w:w="5454" w:type="dxa"/>
            <w:gridSpan w:val="2"/>
            <w:tcBorders/>
            <w:vAlign w:val="center"/>
          </w:tcPr>
          <w:p>
            <w:pPr>
              <w:pStyle w:val="TableContents"/>
              <w:bidi w:val="0"/>
              <w:spacing w:before="0" w:after="283"/>
              <w:jc w:val="left"/>
              <w:rPr>
                <w:sz w:val="4"/>
                <w:szCs w:val="4"/>
              </w:rPr>
            </w:pPr>
            <w:r>
              <w:rPr>
                <w:sz w:val="4"/>
                <w:szCs w:val="4"/>
              </w:rPr>
            </w:r>
          </w:p>
        </w:tc>
      </w:tr>
      <w:tr>
        <w:trPr/>
        <w:tc>
          <w:tcPr>
            <w:tcW w:w="181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Virginia Boulet   </w:t>
            </w:r>
          </w:p>
        </w:tc>
        <w:tc>
          <w:tcPr>
            <w:tcW w:w="210" w:type="dxa"/>
            <w:tcBorders/>
            <w:shd w:fill="CCEEFF" w:val="clear"/>
            <w:vAlign w:val="bottom"/>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center"/>
              <w:rPr/>
            </w:pPr>
            <w:r>
              <w:rPr/>
              <w:t>70</w:t>
            </w:r>
          </w:p>
        </w:tc>
        <w:tc>
          <w:tcPr>
            <w:tcW w:w="304" w:type="dxa"/>
            <w:tcBorders/>
            <w:shd w:fill="CCEEFF" w:val="clear"/>
            <w:vAlign w:val="bottom"/>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center"/>
              <w:rPr/>
            </w:pPr>
            <w:r>
              <w:rPr/>
              <w:t>2023</w:t>
            </w:r>
          </w:p>
        </w:tc>
        <w:tc>
          <w:tcPr>
            <w:tcW w:w="491" w:type="dxa"/>
            <w:tcBorders/>
            <w:shd w:fill="CCEEFF" w:val="clear"/>
            <w:vAlign w:val="bottom"/>
          </w:tcPr>
          <w:p>
            <w:pPr>
              <w:pStyle w:val="TableContents"/>
              <w:bidi w:val="0"/>
              <w:spacing w:before="0" w:after="283"/>
              <w:jc w:val="left"/>
              <w:rPr/>
            </w:pPr>
            <w:r>
              <w:rPr/>
              <w:t>  </w:t>
            </w:r>
          </w:p>
        </w:tc>
        <w:tc>
          <w:tcPr>
            <w:tcW w:w="4963" w:type="dxa"/>
            <w:tcBorders/>
            <w:shd w:fill="CCEEFF" w:val="clear"/>
            <w:vAlign w:val="center"/>
          </w:tcPr>
          <w:p>
            <w:pPr>
              <w:pStyle w:val="TableContents"/>
              <w:bidi w:val="0"/>
              <w:spacing w:before="0" w:after="283"/>
              <w:jc w:val="center"/>
              <w:rPr/>
            </w:pPr>
            <w:r>
              <w:rPr/>
              <w:t>Director</w:t>
            </w:r>
          </w:p>
        </w:tc>
      </w:tr>
      <w:tr>
        <w:trPr>
          <w:trHeight w:val="60" w:hRule="atLeast"/>
        </w:trPr>
        <w:tc>
          <w:tcPr>
            <w:tcW w:w="1810" w:type="dxa"/>
            <w:tcBorders/>
            <w:vAlign w:val="center"/>
          </w:tcPr>
          <w:p>
            <w:pPr>
              <w:pStyle w:val="TableContents"/>
              <w:bidi w:val="0"/>
              <w:spacing w:before="0" w:after="283"/>
              <w:jc w:val="left"/>
              <w:rPr>
                <w:sz w:val="4"/>
                <w:szCs w:val="4"/>
              </w:rPr>
            </w:pPr>
            <w:r>
              <w:rPr>
                <w:sz w:val="4"/>
                <w:szCs w:val="4"/>
              </w:rPr>
            </w:r>
          </w:p>
        </w:tc>
        <w:tc>
          <w:tcPr>
            <w:tcW w:w="1135" w:type="dxa"/>
            <w:gridSpan w:val="2"/>
            <w:tcBorders/>
            <w:vAlign w:val="center"/>
          </w:tcPr>
          <w:p>
            <w:pPr>
              <w:pStyle w:val="TableContents"/>
              <w:bidi w:val="0"/>
              <w:spacing w:before="0" w:after="283"/>
              <w:jc w:val="left"/>
              <w:rPr>
                <w:sz w:val="4"/>
                <w:szCs w:val="4"/>
              </w:rPr>
            </w:pPr>
            <w:r>
              <w:rPr>
                <w:sz w:val="4"/>
                <w:szCs w:val="4"/>
              </w:rPr>
            </w:r>
          </w:p>
        </w:tc>
        <w:tc>
          <w:tcPr>
            <w:tcW w:w="1806" w:type="dxa"/>
            <w:gridSpan w:val="2"/>
            <w:tcBorders/>
            <w:vAlign w:val="center"/>
          </w:tcPr>
          <w:p>
            <w:pPr>
              <w:pStyle w:val="TableContents"/>
              <w:bidi w:val="0"/>
              <w:spacing w:before="0" w:after="283"/>
              <w:jc w:val="left"/>
              <w:rPr>
                <w:sz w:val="4"/>
                <w:szCs w:val="4"/>
              </w:rPr>
            </w:pPr>
            <w:r>
              <w:rPr>
                <w:sz w:val="4"/>
                <w:szCs w:val="4"/>
              </w:rPr>
            </w:r>
          </w:p>
        </w:tc>
        <w:tc>
          <w:tcPr>
            <w:tcW w:w="5454" w:type="dxa"/>
            <w:gridSpan w:val="2"/>
            <w:tcBorders/>
            <w:vAlign w:val="center"/>
          </w:tcPr>
          <w:p>
            <w:pPr>
              <w:pStyle w:val="TableContents"/>
              <w:bidi w:val="0"/>
              <w:spacing w:before="0" w:after="283"/>
              <w:jc w:val="left"/>
              <w:rPr>
                <w:sz w:val="4"/>
                <w:szCs w:val="4"/>
              </w:rPr>
            </w:pPr>
            <w:r>
              <w:rPr>
                <w:sz w:val="4"/>
                <w:szCs w:val="4"/>
              </w:rPr>
            </w:r>
          </w:p>
        </w:tc>
      </w:tr>
      <w:tr>
        <w:trPr/>
        <w:tc>
          <w:tcPr>
            <w:tcW w:w="1810" w:type="dxa"/>
            <w:tcBorders>
              <w:bottom w:val="single" w:sz="2" w:space="0" w:color="000000"/>
            </w:tcBorders>
            <w:tcMar>
              <w:bottom w:w="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Riaz Valani</w:t>
            </w:r>
          </w:p>
        </w:tc>
        <w:tc>
          <w:tcPr>
            <w:tcW w:w="210" w:type="dxa"/>
            <w:tcBorders>
              <w:bottom w:val="single" w:sz="2" w:space="0" w:color="000000"/>
            </w:tcBorders>
            <w:tcMar>
              <w:bottom w:w="28" w:type="dxa"/>
            </w:tcMar>
            <w:vAlign w:val="bottom"/>
          </w:tcPr>
          <w:p>
            <w:pPr>
              <w:pStyle w:val="TableContents"/>
              <w:bidi w:val="0"/>
              <w:spacing w:before="0" w:after="283"/>
              <w:jc w:val="left"/>
              <w:rPr/>
            </w:pPr>
            <w:r>
              <w:rPr/>
              <w:t>  </w:t>
            </w:r>
          </w:p>
        </w:tc>
        <w:tc>
          <w:tcPr>
            <w:tcW w:w="925" w:type="dxa"/>
            <w:tcBorders>
              <w:bottom w:val="single" w:sz="2" w:space="0" w:color="000000"/>
            </w:tcBorders>
            <w:tcMar>
              <w:bottom w:w="60" w:type="dxa"/>
            </w:tcMar>
            <w:vAlign w:val="center"/>
          </w:tcPr>
          <w:p>
            <w:pPr>
              <w:pStyle w:val="TableContents"/>
              <w:bidi w:val="0"/>
              <w:spacing w:before="0" w:after="283"/>
              <w:jc w:val="center"/>
              <w:rPr/>
            </w:pPr>
            <w:r>
              <w:rPr/>
              <w:t>47</w:t>
            </w:r>
          </w:p>
        </w:tc>
        <w:tc>
          <w:tcPr>
            <w:tcW w:w="304"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60" w:type="dxa"/>
            </w:tcMar>
            <w:vAlign w:val="center"/>
          </w:tcPr>
          <w:p>
            <w:pPr>
              <w:pStyle w:val="TableContents"/>
              <w:bidi w:val="0"/>
              <w:spacing w:before="0" w:after="283"/>
              <w:jc w:val="center"/>
              <w:rPr/>
            </w:pPr>
            <w:r>
              <w:rPr/>
              <w:t>2023</w:t>
            </w:r>
          </w:p>
        </w:tc>
        <w:tc>
          <w:tcPr>
            <w:tcW w:w="491" w:type="dxa"/>
            <w:tcBorders>
              <w:bottom w:val="single" w:sz="2" w:space="0" w:color="000000"/>
            </w:tcBorders>
            <w:tcMar>
              <w:bottom w:w="28" w:type="dxa"/>
            </w:tcMar>
            <w:vAlign w:val="bottom"/>
          </w:tcPr>
          <w:p>
            <w:pPr>
              <w:pStyle w:val="TableContents"/>
              <w:bidi w:val="0"/>
              <w:spacing w:before="0" w:after="283"/>
              <w:jc w:val="left"/>
              <w:rPr/>
            </w:pPr>
            <w:r>
              <w:rPr/>
              <w:t>  </w:t>
            </w:r>
          </w:p>
        </w:tc>
        <w:tc>
          <w:tcPr>
            <w:tcW w:w="4963" w:type="dxa"/>
            <w:tcBorders>
              <w:bottom w:val="single" w:sz="2" w:space="0" w:color="000000"/>
            </w:tcBorders>
            <w:tcMar>
              <w:bottom w:w="60" w:type="dxa"/>
            </w:tcMar>
            <w:vAlign w:val="center"/>
          </w:tcPr>
          <w:p>
            <w:pPr>
              <w:pStyle w:val="TableContents"/>
              <w:bidi w:val="0"/>
              <w:spacing w:before="0" w:after="283"/>
              <w:jc w:val="center"/>
              <w:rPr/>
            </w:pPr>
            <w:r>
              <w:rPr/>
              <w:t>Director</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principal occupations and business experience, for at least the past five years, of each Class II Director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5" w:type="dxa"/>
            <w:tcBorders>
              <w:top w:val="single" w:sz="2" w:space="0" w:color="000000"/>
            </w:tcBorders>
            <w:tcMar>
              <w:top w:w="28" w:type="dxa"/>
            </w:tcMar>
            <w:vAlign w:val="center"/>
          </w:tcPr>
          <w:p>
            <w:pPr>
              <w:pStyle w:val="TableContents"/>
              <w:bidi w:val="0"/>
              <w:spacing w:before="0" w:after="283"/>
              <w:jc w:val="left"/>
              <w:rPr/>
            </w:pPr>
            <w:r>
              <w:rPr/>
              <w:t> </w:t>
            </w:r>
          </w:p>
        </w:tc>
        <w:tc>
          <w:tcPr>
            <w:tcW w:w="5000"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5"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VIRGINIA BOULET</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40" w:type="dxa"/>
            </w:tcMar>
            <w:vAlign w:val="center"/>
          </w:tcPr>
          <w:p>
            <w:pPr>
              <w:pStyle w:val="TableContents"/>
              <w:bidi w:val="0"/>
              <w:spacing w:before="0" w:after="283"/>
              <w:jc w:val="right"/>
              <w:rPr/>
            </w:pPr>
            <w:r>
              <w:rPr/>
              <w:t>Age 70</w:t>
            </w:r>
          </w:p>
        </w:tc>
      </w:tr>
    </w:tbl>
    <w:p>
      <w:pPr>
        <w:pStyle w:val="TextBody"/>
        <w:bidi w:val="0"/>
        <w:spacing w:before="240" w:after="0"/>
        <w:jc w:val="both"/>
        <w:rPr>
          <w:rFonts w:ascii="Times New Roman" w:hAnsi="Times New Roman"/>
          <w:sz w:val="20"/>
        </w:rPr>
      </w:pPr>
      <w:r>
        <w:rPr>
          <w:rFonts w:ascii="Times New Roman" w:hAnsi="Times New Roman"/>
          <w:b/>
          <w:i/>
          <w:sz w:val="20"/>
        </w:rPr>
        <w:t xml:space="preserve">Virginia Boulet </w:t>
      </w:r>
      <w:r>
        <w:rPr>
          <w:rFonts w:ascii="Times New Roman" w:hAnsi="Times New Roman"/>
          <w:sz w:val="20"/>
        </w:rPr>
        <w:t xml:space="preserve">has served as a member of our Board since February 2023. She served as a Managing Director of Legacy Capital, LLC, an investment company, from April 2014 until 2019. From 2014 through 2018, she was an adjunct professor of law at Loyola University Law School. From 2002 to March 2014, Ms. Boulet served as Special Counsel at the law firm of Adams and Reese, LLP. She also served as President and Chief Operating Officer of IMDiversity, Inc. from March 2002 to March 2004. Prior to 2002, Ms. Boulet was a partner at the law firms of Phelps Dunbar, LLP and Jones Walker. Ms. Boulet serves as a director of W&amp;T Offshore, Inc (NYSE: WTI), an oil and gas production company, as the Chairperson of its Nominating and Corporate Governance Committee and on its Audit and Compensation committees. Additionally, Ms. Boulet served on the board of Velodyne from November 2011 to February 2023 and was appointed Chairperson of the Velodyne board in July 2022. Additionally, Ms. Boulet previously served on the board of Lumen Technologies, Inc. (NYSE: LUMN), a telecommunications company, from 2002 to 2021. Ms. Boulet received a B.A. from Yale University, and a J.D., cum laude, from Tulane University. We believe Ms. Boulet is qualified to serve on our Board due to her extensive experience representing public and private technology companies and advising their boards and committees, as well as her knowledge of business, legal and governance issues faced by public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204" w:type="dxa"/>
            <w:tcBorders>
              <w:top w:val="single" w:sz="2" w:space="0" w:color="000000"/>
            </w:tcBorders>
            <w:tcMar>
              <w:top w:w="28" w:type="dxa"/>
            </w:tcMar>
            <w:vAlign w:val="center"/>
          </w:tcPr>
          <w:p>
            <w:pPr>
              <w:pStyle w:val="TableContents"/>
              <w:bidi w:val="0"/>
              <w:spacing w:before="0" w:after="283"/>
              <w:jc w:val="left"/>
              <w:rPr/>
            </w:pPr>
            <w:r>
              <w:rPr/>
              <w:t> </w:t>
            </w:r>
          </w:p>
        </w:tc>
        <w:tc>
          <w:tcPr>
            <w:tcW w:w="5001"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5204" w:type="dxa"/>
            <w:tcBorders>
              <w:bottom w:val="single" w:sz="2" w:space="0" w:color="000000"/>
            </w:tcBorders>
            <w:tcMar>
              <w:bottom w:w="4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RIAZ VALANI</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40" w:type="dxa"/>
            </w:tcMar>
            <w:vAlign w:val="center"/>
          </w:tcPr>
          <w:p>
            <w:pPr>
              <w:pStyle w:val="TableContents"/>
              <w:bidi w:val="0"/>
              <w:spacing w:before="0" w:after="283"/>
              <w:jc w:val="right"/>
              <w:rPr/>
            </w:pPr>
            <w:r>
              <w:rPr/>
              <w:t>Age 47</w:t>
            </w:r>
          </w:p>
        </w:tc>
      </w:tr>
    </w:tbl>
    <w:p>
      <w:pPr>
        <w:pStyle w:val="TextBody"/>
        <w:bidi w:val="0"/>
        <w:spacing w:before="240" w:after="0"/>
        <w:jc w:val="both"/>
        <w:rPr>
          <w:rFonts w:ascii="Times New Roman" w:hAnsi="Times New Roman"/>
          <w:sz w:val="20"/>
        </w:rPr>
      </w:pPr>
      <w:r>
        <w:rPr>
          <w:rFonts w:ascii="Times New Roman" w:hAnsi="Times New Roman"/>
          <w:b/>
          <w:i/>
          <w:sz w:val="20"/>
        </w:rPr>
        <w:t>Riaz Valani</w:t>
      </w:r>
      <w:r>
        <w:rPr>
          <w:rFonts w:ascii="Times New Roman" w:hAnsi="Times New Roman"/>
          <w:sz w:val="20"/>
        </w:rPr>
        <w:t xml:space="preserve"> has served as a member of our Board since February 2023. Mr. Valani has served as a General Partner and founder at Global Asset Capital, a private equity investor with diversified interests in venture capital, structured finance, and real estate, since 2015. He previously served as Chairman of Viventures Partners SA, a global venture capital firm, President of IMDI/Sonique, and a member of Gruntal &amp; Co.s asset securitization group. Mr. Valani has 20 years of experience as an investor and director of early stage and growth technology companies, from inception to IPO. Mr. Valani has served on the board of Better Home &amp; Finance Holding Company (Nasdaq: BETR), a homeownership company, since February 2021. Mr. Valani also currently serves on the boards of several private companies. Riaz also serves on the board of Pratham USA, a charity that supports the work of Pratham, an innovative learning organization created to improve the quality of education in India. Mr. Valanis experience as an early investor in our Company and on numerous boards of directors are expected to bring valuable perspective to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10" w:name="toc800696_8"/>
      <w:bookmarkEnd w:id="10"/>
      <w:r>
        <w:rPr>
          <w:rFonts w:ascii="Times New Roman" w:hAnsi="Times New Roman"/>
          <w:b/>
          <w:sz w:val="20"/>
        </w:rPr>
        <w:t xml:space="preserve">PROPOSAL 2: Ratification of Appointment of Independent Registered Public Accounting Firm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of the Board (the Audit Committee) has appointed PricewaterhouseCoopers LLP as our independent registered public accounting firm for the fiscal year ending December 31, 2024. Our Board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 </w:t>
      </w:r>
    </w:p>
    <w:p>
      <w:pPr>
        <w:pStyle w:val="TextBody"/>
        <w:bidi w:val="0"/>
        <w:spacing w:before="240" w:after="0"/>
        <w:jc w:val="both"/>
        <w:rPr>
          <w:rFonts w:ascii="Times New Roman" w:hAnsi="Times New Roman"/>
          <w:sz w:val="20"/>
        </w:rPr>
      </w:pPr>
      <w:r>
        <w:rPr>
          <w:rFonts w:ascii="Times New Roman" w:hAnsi="Times New Roman"/>
          <w:sz w:val="20"/>
        </w:rPr>
        <w:t xml:space="preserve">PricewaterhouseCoopers LLP also served as our independent registered public accounting firm for the fiscal years ended December 31, 2022 and December 31, 2023. Neither PricewaterhouseCoopers LLP nor any of its members has any direct or indirect financial interest in or any connection with us in any capacity other than as our auditors, providing audit and non-audit related services. A representative of PricewaterhouseCoopers LLP is expected to attend the Annual Meeting, have an opportunity to make a statement if he or she desires to do so, and be available to respond to appropriate questions from stockholders.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the appointment of PricewaterhouseCoopers LLP is not ratified by the stockholders, the Audit Committee will consider this fact when it appoints the independent auditors for the fiscal year ending December 31, 2025. Even if the appointment of PricewaterhouseCoopers LLP is ratified, the Audit Committee retains the discretion to appoint a different independent auditor at any time if it determines that such a change is in the interests of Ouster.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This proposal requires the affirmative vote of the holders of a majority in voting power of the votes cast (excluding abstentions and broker non-votes). Abstentions and broker non-votes will have no effect on the proposal. Because brokers have discretionary authority to vote on the ratification of the appointment of PricewaterhouseCoopers LLP, we do not expect any broker non-votes in connection with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2"/>
        <w:gridCol w:w="9696"/>
      </w:tblGrid>
      <w:tr>
        <w:trPr/>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0"/>
              <w:jc w:val="both"/>
              <w:rPr/>
            </w:pPr>
            <w:r>
              <w:rPr/>
              <w:drawing>
                <wp:inline distT="0" distB="0" distL="0" distR="0">
                  <wp:extent cx="22860" cy="228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 cy="2286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0"/>
              <w:jc w:val="both"/>
              <w:rPr>
                <w:rFonts w:ascii="Times New Roman" w:hAnsi="Times New Roman"/>
                <w:b/>
                <w:sz w:val="20"/>
              </w:rPr>
            </w:pPr>
            <w:r>
              <w:rPr>
                <w:rFonts w:ascii="Times New Roman" w:hAnsi="Times New Roman"/>
                <w:b/>
                <w:sz w:val="20"/>
              </w:rPr>
              <w:t>The Board of Directors unanimously recommends a vote FOR the ratification of the appointment of PricewaterhouseCoopers LLP as our independent registered public accounting firm for the fiscal year ending December 31,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11" w:name="toc800696_9"/>
      <w:bookmarkEnd w:id="11"/>
      <w:r>
        <w:rPr>
          <w:rFonts w:ascii="Times New Roman" w:hAnsi="Times New Roman"/>
          <w:b/>
          <w:sz w:val="20"/>
        </w:rPr>
        <w:t xml:space="preserve">REPORT OF THE AUDIT COMMITTEE OF THE BOARD OF DIRECTORS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The Audit Committee has reviewed the Companys audited financial statements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w:t>
      </w:r>
      <w:r>
        <w:rPr>
          <w:rFonts w:ascii="Times New Roman" w:hAnsi="Times New Roman"/>
          <w:b/>
          <w:i/>
          <w:sz w:val="20"/>
        </w:rPr>
        <w:t>PCAOB</w:t>
      </w:r>
      <w:r>
        <w:rPr>
          <w:rFonts w:ascii="Times New Roman" w:hAnsi="Times New Roman"/>
          <w:sz w:val="20"/>
        </w:rPr>
        <w:t xml:space="preserve">) and the SEC. </w:t>
      </w:r>
    </w:p>
    <w:p>
      <w:pPr>
        <w:pStyle w:val="TextBody"/>
        <w:bidi w:val="0"/>
        <w:spacing w:before="240" w:after="0"/>
        <w:jc w:val="both"/>
        <w:rPr>
          <w:rFonts w:ascii="Times New Roman" w:hAnsi="Times New Roman"/>
          <w:sz w:val="20"/>
        </w:rPr>
      </w:pPr>
      <w:r>
        <w:rPr>
          <w:rFonts w:ascii="Times New Roman" w:hAnsi="Times New Roman"/>
          <w:sz w:val="20"/>
        </w:rPr>
        <w:t xml:space="preserve">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before="240" w:after="0"/>
        <w:jc w:val="both"/>
        <w:rPr>
          <w:rFonts w:ascii="Times New Roman" w:hAnsi="Times New Roman"/>
          <w:sz w:val="20"/>
        </w:rPr>
      </w:pPr>
      <w:r>
        <w:rPr>
          <w:rFonts w:ascii="Times New Roman" w:hAnsi="Times New Roman"/>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2023. </w:t>
      </w:r>
    </w:p>
    <w:p>
      <w:pPr>
        <w:pStyle w:val="TextBody"/>
        <w:bidi w:val="0"/>
        <w:spacing w:before="240" w:after="0"/>
        <w:jc w:val="both"/>
        <w:rPr>
          <w:rFonts w:ascii="Times New Roman" w:hAnsi="Times New Roman"/>
          <w:sz w:val="20"/>
        </w:rPr>
      </w:pPr>
      <w:r>
        <w:rPr>
          <w:rFonts w:ascii="Times New Roman" w:hAnsi="Times New Roman"/>
          <w:sz w:val="20"/>
        </w:rPr>
        <w:t xml:space="preserve">Ernest E. Maddock (Chair) </w:t>
      </w:r>
    </w:p>
    <w:p>
      <w:pPr>
        <w:pStyle w:val="TextBody"/>
        <w:bidi w:val="0"/>
        <w:spacing w:before="0" w:after="0"/>
        <w:jc w:val="both"/>
        <w:rPr>
          <w:rFonts w:ascii="Times New Roman" w:hAnsi="Times New Roman"/>
          <w:sz w:val="20"/>
        </w:rPr>
      </w:pPr>
      <w:r>
        <w:rPr>
          <w:rFonts w:ascii="Times New Roman" w:hAnsi="Times New Roman"/>
          <w:sz w:val="20"/>
        </w:rPr>
        <w:t xml:space="preserve">Susan Heystee </w:t>
      </w:r>
    </w:p>
    <w:p>
      <w:pPr>
        <w:pStyle w:val="TextBody"/>
        <w:bidi w:val="0"/>
        <w:spacing w:before="0" w:after="0"/>
        <w:jc w:val="left"/>
        <w:rPr>
          <w:rFonts w:ascii="Times New Roman" w:hAnsi="Times New Roman"/>
          <w:sz w:val="20"/>
        </w:rPr>
      </w:pPr>
      <w:r>
        <w:rPr>
          <w:rFonts w:ascii="Times New Roman" w:hAnsi="Times New Roman"/>
          <w:sz w:val="20"/>
        </w:rPr>
        <w:t xml:space="preserve">Kristin Slanina </w:t>
      </w:r>
    </w:p>
    <w:p>
      <w:pPr>
        <w:pStyle w:val="TextBody"/>
        <w:bidi w:val="0"/>
        <w:spacing w:before="240" w:after="0"/>
        <w:jc w:val="both"/>
        <w:rPr>
          <w:rFonts w:ascii="Times New Roman" w:hAnsi="Times New Roman"/>
          <w:i/>
          <w:sz w:val="20"/>
        </w:rPr>
      </w:pPr>
      <w:r>
        <w:rPr>
          <w:rFonts w:ascii="Times New Roman" w:hAnsi="Times New Roman"/>
          <w:i/>
          <w:sz w:val="20"/>
        </w:rPr>
        <w:t xml:space="preserve">The Audit Committee Report does not constitute soliciting material, and shall not be deemed to be filed or incorporated by reference into any other filing under the Securities Act of 1933, as amended, or the Exchange Act, except to the extent that the Company specifically incorporates the Audit Committee Report by reference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12" w:name="toc800696_10"/>
      <w:bookmarkEnd w:id="12"/>
      <w:r>
        <w:rPr>
          <w:rFonts w:ascii="Times New Roman" w:hAnsi="Times New Roman"/>
          <w:b/>
          <w:sz w:val="20"/>
        </w:rPr>
        <w:t xml:space="preserve">INDEPENDENT REGISTERED PUBLIC ACCOUNTING FIRM FEES AND OTHER MATTERS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Set forth below are the fees paid to our independent registered public accounting firm, PricewaterhouseCoopers LLP, for the fiscal years ended December 31, 2023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61"/>
        <w:gridCol w:w="214"/>
        <w:gridCol w:w="140"/>
        <w:gridCol w:w="1744"/>
        <w:gridCol w:w="60"/>
        <w:gridCol w:w="214"/>
        <w:gridCol w:w="140"/>
        <w:gridCol w:w="1768"/>
        <w:gridCol w:w="64"/>
      </w:tblGrid>
      <w:tr>
        <w:trPr/>
        <w:tc>
          <w:tcPr>
            <w:tcW w:w="586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61" w:type="dxa"/>
            <w:tcBorders>
              <w:bottom w:val="single" w:sz="2" w:space="0" w:color="000000"/>
            </w:tcBorders>
            <w:tcMar>
              <w:bottom w:w="40" w:type="dxa"/>
            </w:tcMar>
            <w:vAlign w:val="bottom"/>
          </w:tcPr>
          <w:p>
            <w:pPr>
              <w:pStyle w:val="TableContents"/>
              <w:bidi w:val="0"/>
              <w:spacing w:before="0" w:after="283"/>
              <w:jc w:val="left"/>
              <w:rPr>
                <w:b/>
              </w:rPr>
            </w:pPr>
            <w:r>
              <w:rPr>
                <w:b/>
              </w:rPr>
              <w:t>Fee Category</w:t>
            </w:r>
          </w:p>
        </w:tc>
        <w:tc>
          <w:tcPr>
            <w:tcW w:w="214" w:type="dxa"/>
            <w:tcBorders>
              <w:bottom w:val="single" w:sz="2" w:space="0" w:color="000000"/>
            </w:tcBorders>
            <w:tcMar>
              <w:bottom w:w="28" w:type="dxa"/>
            </w:tcMar>
            <w:vAlign w:val="bottom"/>
          </w:tcPr>
          <w:p>
            <w:pPr>
              <w:pStyle w:val="TableContents"/>
              <w:bidi w:val="0"/>
              <w:spacing w:before="0" w:after="283"/>
              <w:jc w:val="left"/>
              <w:rPr/>
            </w:pPr>
            <w:r>
              <w:rPr/>
              <w:t>  </w:t>
            </w:r>
          </w:p>
        </w:tc>
        <w:tc>
          <w:tcPr>
            <w:tcW w:w="1884" w:type="dxa"/>
            <w:gridSpan w:val="2"/>
            <w:tcBorders>
              <w:bottom w:val="single" w:sz="2" w:space="0" w:color="000000"/>
            </w:tcBorders>
            <w:tcMar>
              <w:bottom w:w="40" w:type="dxa"/>
            </w:tcMar>
            <w:vAlign w:val="bottom"/>
          </w:tcPr>
          <w:p>
            <w:pPr>
              <w:pStyle w:val="TableContents"/>
              <w:bidi w:val="0"/>
              <w:spacing w:before="0" w:after="283"/>
              <w:jc w:val="center"/>
              <w:rPr>
                <w:b/>
              </w:rPr>
            </w:pPr>
            <w:r>
              <w:rPr>
                <w:b/>
              </w:rPr>
              <w:t>Fiscal 2023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tcMar>
              <w:bottom w:w="28" w:type="dxa"/>
            </w:tcMar>
            <w:vAlign w:val="bottom"/>
          </w:tcPr>
          <w:p>
            <w:pPr>
              <w:pStyle w:val="TableContents"/>
              <w:bidi w:val="0"/>
              <w:spacing w:before="0" w:after="283"/>
              <w:jc w:val="left"/>
              <w:rPr/>
            </w:pPr>
            <w:r>
              <w:rPr/>
              <w:t>  </w:t>
            </w:r>
          </w:p>
        </w:tc>
        <w:tc>
          <w:tcPr>
            <w:tcW w:w="1908" w:type="dxa"/>
            <w:gridSpan w:val="2"/>
            <w:tcBorders>
              <w:bottom w:val="single" w:sz="2" w:space="0" w:color="000000"/>
            </w:tcBorders>
            <w:tcMar>
              <w:bottom w:w="40" w:type="dxa"/>
            </w:tcMar>
            <w:vAlign w:val="bottom"/>
          </w:tcPr>
          <w:p>
            <w:pPr>
              <w:pStyle w:val="TableContents"/>
              <w:bidi w:val="0"/>
              <w:spacing w:before="0" w:after="283"/>
              <w:jc w:val="center"/>
              <w:rPr>
                <w:b/>
              </w:rPr>
            </w:pPr>
            <w:r>
              <w:rPr>
                <w:b/>
              </w:rPr>
              <w:t>Fiscal 2022</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5861" w:type="dxa"/>
            <w:tcBorders/>
            <w:vAlign w:val="center"/>
          </w:tcPr>
          <w:p>
            <w:pPr>
              <w:pStyle w:val="TableContents"/>
              <w:bidi w:val="0"/>
              <w:spacing w:before="0" w:after="283"/>
              <w:jc w:val="left"/>
              <w:rPr>
                <w:sz w:val="4"/>
                <w:szCs w:val="4"/>
              </w:rPr>
            </w:pPr>
            <w:r>
              <w:rPr>
                <w:sz w:val="4"/>
                <w:szCs w:val="4"/>
              </w:rPr>
            </w:r>
          </w:p>
        </w:tc>
        <w:tc>
          <w:tcPr>
            <w:tcW w:w="2158" w:type="dxa"/>
            <w:gridSpan w:val="4"/>
            <w:tcBorders/>
            <w:vAlign w:val="center"/>
          </w:tcPr>
          <w:p>
            <w:pPr>
              <w:pStyle w:val="TableContents"/>
              <w:bidi w:val="0"/>
              <w:spacing w:before="0" w:after="283"/>
              <w:jc w:val="left"/>
              <w:rPr>
                <w:sz w:val="4"/>
                <w:szCs w:val="4"/>
              </w:rPr>
            </w:pPr>
            <w:r>
              <w:rPr>
                <w:sz w:val="4"/>
                <w:szCs w:val="4"/>
              </w:rPr>
            </w:r>
          </w:p>
        </w:tc>
        <w:tc>
          <w:tcPr>
            <w:tcW w:w="2186" w:type="dxa"/>
            <w:gridSpan w:val="4"/>
            <w:tcBorders/>
            <w:vAlign w:val="center"/>
          </w:tcPr>
          <w:p>
            <w:pPr>
              <w:pStyle w:val="TableContents"/>
              <w:bidi w:val="0"/>
              <w:spacing w:before="0" w:after="283"/>
              <w:jc w:val="left"/>
              <w:rPr>
                <w:sz w:val="4"/>
                <w:szCs w:val="4"/>
              </w:rPr>
            </w:pPr>
            <w:r>
              <w:rPr>
                <w:sz w:val="4"/>
                <w:szCs w:val="4"/>
              </w:rPr>
            </w:r>
          </w:p>
        </w:tc>
      </w:tr>
      <w:tr>
        <w:trPr/>
        <w:tc>
          <w:tcPr>
            <w:tcW w:w="586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Audit Fees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2,471,345</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1,265,000 </w:t>
            </w:r>
          </w:p>
        </w:tc>
        <w:tc>
          <w:tcPr>
            <w:tcW w:w="64" w:type="dxa"/>
            <w:tcBorders/>
            <w:shd w:fill="CCEEFF" w:val="clear"/>
            <w:vAlign w:val="bottom"/>
          </w:tcPr>
          <w:p>
            <w:pPr>
              <w:pStyle w:val="TableContents"/>
              <w:bidi w:val="0"/>
              <w:spacing w:before="0" w:after="283"/>
              <w:jc w:val="left"/>
              <w:rPr/>
            </w:pPr>
            <w:r>
              <w:rPr/>
              <w:t> </w:t>
            </w:r>
          </w:p>
        </w:tc>
      </w:tr>
      <w:tr>
        <w:trPr>
          <w:trHeight w:val="60" w:hRule="atLeast"/>
        </w:trPr>
        <w:tc>
          <w:tcPr>
            <w:tcW w:w="5861" w:type="dxa"/>
            <w:tcBorders/>
            <w:vAlign w:val="center"/>
          </w:tcPr>
          <w:p>
            <w:pPr>
              <w:pStyle w:val="TableContents"/>
              <w:bidi w:val="0"/>
              <w:spacing w:before="0" w:after="283"/>
              <w:jc w:val="left"/>
              <w:rPr>
                <w:sz w:val="4"/>
                <w:szCs w:val="4"/>
              </w:rPr>
            </w:pPr>
            <w:r>
              <w:rPr>
                <w:sz w:val="4"/>
                <w:szCs w:val="4"/>
              </w:rPr>
            </w:r>
          </w:p>
        </w:tc>
        <w:tc>
          <w:tcPr>
            <w:tcW w:w="2158" w:type="dxa"/>
            <w:gridSpan w:val="4"/>
            <w:tcBorders/>
            <w:vAlign w:val="center"/>
          </w:tcPr>
          <w:p>
            <w:pPr>
              <w:pStyle w:val="TableContents"/>
              <w:bidi w:val="0"/>
              <w:spacing w:before="0" w:after="283"/>
              <w:jc w:val="left"/>
              <w:rPr>
                <w:sz w:val="4"/>
                <w:szCs w:val="4"/>
              </w:rPr>
            </w:pPr>
            <w:r>
              <w:rPr>
                <w:sz w:val="4"/>
                <w:szCs w:val="4"/>
              </w:rPr>
            </w:r>
          </w:p>
        </w:tc>
        <w:tc>
          <w:tcPr>
            <w:tcW w:w="2186" w:type="dxa"/>
            <w:gridSpan w:val="4"/>
            <w:tcBorders/>
            <w:vAlign w:val="center"/>
          </w:tcPr>
          <w:p>
            <w:pPr>
              <w:pStyle w:val="TableContents"/>
              <w:bidi w:val="0"/>
              <w:spacing w:before="0" w:after="283"/>
              <w:jc w:val="left"/>
              <w:rPr>
                <w:sz w:val="4"/>
                <w:szCs w:val="4"/>
              </w:rPr>
            </w:pPr>
            <w:r>
              <w:rPr>
                <w:sz w:val="4"/>
                <w:szCs w:val="4"/>
              </w:rPr>
            </w:r>
          </w:p>
        </w:tc>
      </w:tr>
      <w:tr>
        <w:trPr/>
        <w:tc>
          <w:tcPr>
            <w:tcW w:w="5861" w:type="dxa"/>
            <w:tcBorders/>
          </w:tcPr>
          <w:p>
            <w:pPr>
              <w:pStyle w:val="TableContents"/>
              <w:bidi w:val="0"/>
              <w:spacing w:before="0" w:after="0"/>
              <w:jc w:val="left"/>
              <w:rPr>
                <w:rFonts w:ascii="Times New Roman" w:hAnsi="Times New Roman"/>
                <w:sz w:val="16"/>
              </w:rPr>
            </w:pPr>
            <w:r>
              <w:rPr>
                <w:rFonts w:ascii="Times New Roman" w:hAnsi="Times New Roman"/>
                <w:sz w:val="16"/>
              </w:rPr>
              <w:t>Audit-Related Fees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650,000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68" w:type="dxa"/>
            <w:tcBorders/>
            <w:vAlign w:val="bottom"/>
          </w:tcPr>
          <w:p>
            <w:pPr>
              <w:pStyle w:val="TableContents"/>
              <w:bidi w:val="0"/>
              <w:spacing w:before="0" w:after="283"/>
              <w:jc w:val="right"/>
              <w:rPr/>
            </w:pPr>
            <w:r>
              <w:rPr/>
              <w:t>448,900 </w:t>
            </w:r>
          </w:p>
        </w:tc>
        <w:tc>
          <w:tcPr>
            <w:tcW w:w="64" w:type="dxa"/>
            <w:tcBorders/>
            <w:vAlign w:val="bottom"/>
          </w:tcPr>
          <w:p>
            <w:pPr>
              <w:pStyle w:val="TableContents"/>
              <w:bidi w:val="0"/>
              <w:spacing w:before="0" w:after="283"/>
              <w:jc w:val="left"/>
              <w:rPr/>
            </w:pPr>
            <w:r>
              <w:rPr/>
              <w:t> </w:t>
            </w:r>
          </w:p>
        </w:tc>
      </w:tr>
      <w:tr>
        <w:trPr>
          <w:trHeight w:val="60" w:hRule="atLeast"/>
        </w:trPr>
        <w:tc>
          <w:tcPr>
            <w:tcW w:w="5861" w:type="dxa"/>
            <w:tcBorders/>
            <w:vAlign w:val="center"/>
          </w:tcPr>
          <w:p>
            <w:pPr>
              <w:pStyle w:val="TableContents"/>
              <w:bidi w:val="0"/>
              <w:spacing w:before="0" w:after="283"/>
              <w:jc w:val="left"/>
              <w:rPr>
                <w:sz w:val="4"/>
                <w:szCs w:val="4"/>
              </w:rPr>
            </w:pPr>
            <w:r>
              <w:rPr>
                <w:sz w:val="4"/>
                <w:szCs w:val="4"/>
              </w:rPr>
            </w:r>
          </w:p>
        </w:tc>
        <w:tc>
          <w:tcPr>
            <w:tcW w:w="2158" w:type="dxa"/>
            <w:gridSpan w:val="4"/>
            <w:tcBorders/>
            <w:vAlign w:val="center"/>
          </w:tcPr>
          <w:p>
            <w:pPr>
              <w:pStyle w:val="TableContents"/>
              <w:bidi w:val="0"/>
              <w:spacing w:before="0" w:after="283"/>
              <w:jc w:val="left"/>
              <w:rPr>
                <w:sz w:val="4"/>
                <w:szCs w:val="4"/>
              </w:rPr>
            </w:pPr>
            <w:r>
              <w:rPr>
                <w:sz w:val="4"/>
                <w:szCs w:val="4"/>
              </w:rPr>
            </w:r>
          </w:p>
        </w:tc>
        <w:tc>
          <w:tcPr>
            <w:tcW w:w="2186" w:type="dxa"/>
            <w:gridSpan w:val="4"/>
            <w:tcBorders/>
            <w:vAlign w:val="center"/>
          </w:tcPr>
          <w:p>
            <w:pPr>
              <w:pStyle w:val="TableContents"/>
              <w:bidi w:val="0"/>
              <w:spacing w:before="0" w:after="283"/>
              <w:jc w:val="left"/>
              <w:rPr>
                <w:sz w:val="4"/>
                <w:szCs w:val="4"/>
              </w:rPr>
            </w:pPr>
            <w:r>
              <w:rPr>
                <w:sz w:val="4"/>
                <w:szCs w:val="4"/>
              </w:rPr>
            </w:r>
          </w:p>
        </w:tc>
      </w:tr>
      <w:tr>
        <w:trPr/>
        <w:tc>
          <w:tcPr>
            <w:tcW w:w="586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All Other Fees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675,000 </w:t>
            </w:r>
          </w:p>
        </w:tc>
        <w:tc>
          <w:tcPr>
            <w:tcW w:w="64" w:type="dxa"/>
            <w:tcBorders/>
            <w:shd w:fill="CCEEFF" w:val="clear"/>
            <w:vAlign w:val="bottom"/>
          </w:tcPr>
          <w:p>
            <w:pPr>
              <w:pStyle w:val="TableContents"/>
              <w:bidi w:val="0"/>
              <w:spacing w:before="0" w:after="283"/>
              <w:jc w:val="left"/>
              <w:rPr/>
            </w:pPr>
            <w:r>
              <w:rPr/>
              <w:t> </w:t>
            </w:r>
          </w:p>
        </w:tc>
      </w:tr>
      <w:tr>
        <w:trPr>
          <w:trHeight w:val="60" w:hRule="atLeast"/>
        </w:trPr>
        <w:tc>
          <w:tcPr>
            <w:tcW w:w="5861" w:type="dxa"/>
            <w:tcBorders/>
            <w:vAlign w:val="center"/>
          </w:tcPr>
          <w:p>
            <w:pPr>
              <w:pStyle w:val="TableContents"/>
              <w:bidi w:val="0"/>
              <w:spacing w:before="0" w:after="283"/>
              <w:jc w:val="left"/>
              <w:rPr>
                <w:sz w:val="4"/>
                <w:szCs w:val="4"/>
              </w:rPr>
            </w:pPr>
            <w:r>
              <w:rPr>
                <w:sz w:val="4"/>
                <w:szCs w:val="4"/>
              </w:rPr>
            </w:r>
          </w:p>
        </w:tc>
        <w:tc>
          <w:tcPr>
            <w:tcW w:w="2158" w:type="dxa"/>
            <w:gridSpan w:val="4"/>
            <w:tcBorders/>
            <w:vAlign w:val="center"/>
          </w:tcPr>
          <w:p>
            <w:pPr>
              <w:pStyle w:val="TableContents"/>
              <w:bidi w:val="0"/>
              <w:spacing w:before="0" w:after="283"/>
              <w:jc w:val="left"/>
              <w:rPr>
                <w:sz w:val="4"/>
                <w:szCs w:val="4"/>
              </w:rPr>
            </w:pPr>
            <w:r>
              <w:rPr>
                <w:sz w:val="4"/>
                <w:szCs w:val="4"/>
              </w:rPr>
            </w:r>
          </w:p>
        </w:tc>
        <w:tc>
          <w:tcPr>
            <w:tcW w:w="2186" w:type="dxa"/>
            <w:gridSpan w:val="4"/>
            <w:tcBorders/>
            <w:vAlign w:val="center"/>
          </w:tcPr>
          <w:p>
            <w:pPr>
              <w:pStyle w:val="TableContents"/>
              <w:bidi w:val="0"/>
              <w:spacing w:before="0" w:after="283"/>
              <w:jc w:val="left"/>
              <w:rPr>
                <w:sz w:val="4"/>
                <w:szCs w:val="4"/>
              </w:rPr>
            </w:pPr>
            <w:r>
              <w:rPr>
                <w:sz w:val="4"/>
                <w:szCs w:val="4"/>
              </w:rPr>
            </w:r>
          </w:p>
        </w:tc>
      </w:tr>
      <w:tr>
        <w:trPr/>
        <w:tc>
          <w:tcPr>
            <w:tcW w:w="5861" w:type="dxa"/>
            <w:tcBorders>
              <w:bottom w:val="single" w:sz="2" w:space="0" w:color="000000"/>
            </w:tcBorders>
            <w:tcMar>
              <w:bottom w:w="60" w:type="dxa"/>
            </w:tcMar>
          </w:tcPr>
          <w:p>
            <w:pPr>
              <w:pStyle w:val="TableContents"/>
              <w:bidi w:val="0"/>
              <w:spacing w:before="0" w:after="0"/>
              <w:jc w:val="left"/>
              <w:rPr>
                <w:rFonts w:ascii="Times New Roman" w:hAnsi="Times New Roman"/>
                <w:b/>
                <w:sz w:val="16"/>
              </w:rPr>
            </w:pPr>
            <w:r>
              <w:rPr>
                <w:rFonts w:ascii="Times New Roman" w:hAnsi="Times New Roman"/>
                <w:b/>
                <w:sz w:val="16"/>
              </w:rPr>
              <w:t>Total Fees</w:t>
            </w:r>
          </w:p>
        </w:tc>
        <w:tc>
          <w:tcPr>
            <w:tcW w:w="214"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60" w:type="dxa"/>
            </w:tcMar>
            <w:vAlign w:val="bottom"/>
          </w:tcPr>
          <w:p>
            <w:pPr>
              <w:pStyle w:val="TableContents"/>
              <w:bidi w:val="0"/>
              <w:spacing w:before="0" w:after="283"/>
              <w:jc w:val="left"/>
              <w:rPr/>
            </w:pPr>
            <w:r>
              <w:rPr/>
              <w:t>$</w:t>
            </w:r>
          </w:p>
        </w:tc>
        <w:tc>
          <w:tcPr>
            <w:tcW w:w="1744" w:type="dxa"/>
            <w:tcBorders>
              <w:bottom w:val="single" w:sz="2" w:space="0" w:color="000000"/>
            </w:tcBorders>
            <w:tcMar>
              <w:bottom w:w="60" w:type="dxa"/>
            </w:tcMar>
            <w:vAlign w:val="bottom"/>
          </w:tcPr>
          <w:p>
            <w:pPr>
              <w:pStyle w:val="TableContents"/>
              <w:bidi w:val="0"/>
              <w:spacing w:before="0" w:after="283"/>
              <w:jc w:val="right"/>
              <w:rPr/>
            </w:pPr>
            <w:r>
              <w:rPr/>
              <w:t>   </w:t>
            </w:r>
            <w:r>
              <w:rPr/>
              <w:t>3,136,345</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214"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60" w:type="dxa"/>
            </w:tcMar>
            <w:vAlign w:val="bottom"/>
          </w:tcPr>
          <w:p>
            <w:pPr>
              <w:pStyle w:val="TableContents"/>
              <w:bidi w:val="0"/>
              <w:spacing w:before="0" w:after="283"/>
              <w:jc w:val="left"/>
              <w:rPr/>
            </w:pPr>
            <w:r>
              <w:rPr/>
              <w:t>$</w:t>
            </w:r>
          </w:p>
        </w:tc>
        <w:tc>
          <w:tcPr>
            <w:tcW w:w="1768" w:type="dxa"/>
            <w:tcBorders>
              <w:bottom w:val="single" w:sz="2" w:space="0" w:color="000000"/>
            </w:tcBorders>
            <w:tcMar>
              <w:bottom w:w="60" w:type="dxa"/>
            </w:tcMar>
            <w:vAlign w:val="bottom"/>
          </w:tcPr>
          <w:p>
            <w:pPr>
              <w:pStyle w:val="TableContents"/>
              <w:bidi w:val="0"/>
              <w:spacing w:before="0" w:after="283"/>
              <w:jc w:val="right"/>
              <w:rPr/>
            </w:pPr>
            <w:r>
              <w:rPr/>
              <w:t>   </w:t>
            </w:r>
            <w:r>
              <w:rPr/>
              <w:t>2,388,900 </w:t>
            </w:r>
          </w:p>
        </w:tc>
        <w:tc>
          <w:tcPr>
            <w:tcW w:w="64"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 FEES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Audit fees in 2023 and 2022 consisted of fees for the audit of our annual financial statements, the review of the interim financial statements included in our Quarterly Reports on Form 10-Q, the review of financial statements to be included in registration statements, services associated with the issuance of comfort letters and the issuance of consents to registration statements and other professional services provided in connection with statutory and regulatory filings or engagements. </w:t>
      </w:r>
    </w:p>
    <w:p>
      <w:pPr>
        <w:pStyle w:val="TextBody"/>
        <w:bidi w:val="0"/>
        <w:spacing w:before="360" w:after="0"/>
        <w:jc w:val="left"/>
        <w:rPr>
          <w:rFonts w:ascii="Times New Roman" w:hAnsi="Times New Roman"/>
          <w:b/>
          <w:sz w:val="20"/>
        </w:rPr>
      </w:pPr>
      <w:r>
        <w:rPr>
          <w:rFonts w:ascii="Times New Roman" w:hAnsi="Times New Roman"/>
          <w:b/>
          <w:sz w:val="20"/>
        </w:rPr>
        <w:t xml:space="preserve">AUDIT-RELATED FEES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Audit-related fees consist of fees that are reasonably related to the performance of the audit and the review of our financial statements and which are not reported under Audit Fees. </w:t>
      </w:r>
    </w:p>
    <w:p>
      <w:pPr>
        <w:pStyle w:val="TextBody"/>
        <w:bidi w:val="0"/>
        <w:spacing w:before="240" w:after="0"/>
        <w:jc w:val="both"/>
        <w:rPr>
          <w:rFonts w:ascii="Times New Roman" w:hAnsi="Times New Roman"/>
          <w:sz w:val="20"/>
        </w:rPr>
      </w:pPr>
      <w:r>
        <w:rPr>
          <w:rFonts w:ascii="Times New Roman" w:hAnsi="Times New Roman"/>
          <w:sz w:val="20"/>
        </w:rPr>
        <w:t xml:space="preserve">In 2023, our audit-related fees consisted of fees associated with assurance and related services, including but not limited to the internal control reviews and audits in connection with the Velodyne Merger and other technical accounting matters. In 2022, our audit-related fees consisted of fees associated with the issuance of comfort letters in connection with our April 2022 open market sale agreement, regulatory filings with the SEC and other technical accounting matters. </w:t>
      </w:r>
    </w:p>
    <w:p>
      <w:pPr>
        <w:pStyle w:val="TextBody"/>
        <w:bidi w:val="0"/>
        <w:spacing w:before="360" w:after="0"/>
        <w:jc w:val="left"/>
        <w:rPr>
          <w:rFonts w:ascii="Times New Roman" w:hAnsi="Times New Roman"/>
          <w:b/>
          <w:sz w:val="20"/>
        </w:rPr>
      </w:pPr>
      <w:r>
        <w:rPr>
          <w:rFonts w:ascii="Times New Roman" w:hAnsi="Times New Roman"/>
          <w:b/>
          <w:sz w:val="20"/>
        </w:rPr>
        <w:t xml:space="preserve">ALL OTHER FEES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For 2023, all other fees consisted of fees related to technical research tools and similar resources. </w:t>
      </w:r>
    </w:p>
    <w:p>
      <w:pPr>
        <w:pStyle w:val="TextBody"/>
        <w:bidi w:val="0"/>
        <w:spacing w:before="240" w:after="0"/>
        <w:jc w:val="both"/>
        <w:rPr>
          <w:rFonts w:ascii="Times New Roman" w:hAnsi="Times New Roman"/>
          <w:sz w:val="20"/>
        </w:rPr>
      </w:pPr>
      <w:r>
        <w:rPr>
          <w:rFonts w:ascii="Times New Roman" w:hAnsi="Times New Roman"/>
          <w:sz w:val="20"/>
        </w:rPr>
        <w:t xml:space="preserve">For 2022, all other fees consisted of fees related to services provided in connection with the Velodyne Merger and services associated with the issuance of comfort letters and the issuance of consents to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POLICY AND PROCEDURES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13" w:name="toc800696_11"/>
      <w:bookmarkEnd w:id="13"/>
      <w:r>
        <w:rPr>
          <w:rFonts w:ascii="Times New Roman" w:hAnsi="Times New Roman"/>
          <w:b/>
          <w:sz w:val="20"/>
        </w:rPr>
        <w:t xml:space="preserve">PROPOSAL 3: Approval, on an Advisory (Non-Binding) Basis, of the Compensation of Our Named Executive Officers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DoddFrank Wall Street Reform and Consumer Protection Act of 2010 (the Dodd-Frank Act) and Rule 14a-21(a) under the Securities Exchange Act of 1934, as amended,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t>
      </w:r>
    </w:p>
    <w:p>
      <w:pPr>
        <w:pStyle w:val="TextBody"/>
        <w:bidi w:val="0"/>
        <w:spacing w:before="240" w:after="0"/>
        <w:jc w:val="both"/>
        <w:rPr>
          <w:rFonts w:ascii="Times New Roman" w:hAnsi="Times New Roman"/>
          <w:sz w:val="20"/>
        </w:rPr>
      </w:pPr>
      <w:r>
        <w:rPr>
          <w:rFonts w:ascii="Times New Roman" w:hAnsi="Times New Roman"/>
          <w:sz w:val="20"/>
        </w:rPr>
        <w:t>Accordingly, we ask our stockholders to vote </w:t>
      </w:r>
      <w:r>
        <w:rPr>
          <w:rFonts w:ascii="Times New Roman" w:hAnsi="Times New Roman"/>
          <w:b/>
          <w:sz w:val="20"/>
        </w:rPr>
        <w:t>FOR</w:t>
      </w:r>
      <w:r>
        <w:rPr>
          <w:rFonts w:ascii="Times New Roman" w:hAnsi="Times New Roman"/>
          <w:sz w:val="20"/>
        </w:rPr>
        <w:t xml:space="preserve"> the following resolution at the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RESOLVED, that the Companys stockholders hereby approve, on an advisory (non-binding) basis, the compensation of the Companys named executive officers, as disclosed in the Companys proxy statement for the 2024 annual meeting of stockholders pursuant to Item 402 of Regulation S-K, including the compensation tables and narrative discussion.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compensation programs and policies for the year ended December 31, 2023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our performance-based compensation programs and set compensation targets and other objectives to maintain a close correlation between Company and individual achievement. </w:t>
      </w:r>
    </w:p>
    <w:p>
      <w:pPr>
        <w:pStyle w:val="TextBody"/>
        <w:bidi w:val="0"/>
        <w:spacing w:before="240" w:after="0"/>
        <w:jc w:val="both"/>
        <w:rPr>
          <w:rFonts w:ascii="Times New Roman" w:hAnsi="Times New Roman"/>
          <w:sz w:val="20"/>
        </w:rPr>
      </w:pPr>
      <w:r>
        <w:rPr>
          <w:rFonts w:ascii="Times New Roman" w:hAnsi="Times New Roman"/>
          <w:sz w:val="20"/>
        </w:rPr>
        <w:t xml:space="preserve">This vote is merely advisory and will not be binding upon the Company, our Board or the Boards Compensation Committee (the Compensation Committee), nor will it create or imply any change in the duties of the Company, our Board, or the Compensation Committee. The Compensation Committee will, however, take into account the outcome of the vote when considering future executive compensation decisions. At our 2023 annual meeting of stockholders, approximately 94% of the votes cast were voted for the proposal. The Board values constructive dialogue on executive compensation and other significant governance topics with our stockholders and encourages all stockholders to vote their shares on this important matter. </w:t>
      </w:r>
    </w:p>
    <w:p>
      <w:pPr>
        <w:pStyle w:val="TextBody"/>
        <w:bidi w:val="0"/>
        <w:spacing w:before="240" w:after="0"/>
        <w:jc w:val="both"/>
        <w:rPr>
          <w:rFonts w:ascii="Times New Roman" w:hAnsi="Times New Roman"/>
          <w:sz w:val="20"/>
        </w:rPr>
      </w:pPr>
      <w:r>
        <w:rPr>
          <w:rFonts w:ascii="Times New Roman" w:hAnsi="Times New Roman"/>
          <w:sz w:val="20"/>
        </w:rPr>
        <w:t xml:space="preserve">At our annual meeting of stockholders held on June 9, 2022, our stockholders recommended, on an advisory basis, that future stockholder votes on the compensation of our named executive officers occur every year. In light of the foregoing recommendation, our Board determined to hold a say-on-pay advisory vote every year.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the Company, and we look forward to hearing from our stockholders on this proposal. Accordingly, our next advisory say-on-pay vote (following the advisory vote at this Annual Meeting) is expected to occur at our 2025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approval, on an advisory (non-binding) basis, of the compensation of our named executive officers will require the affirmative vote of the holders of a majority in voting power of the votes cast at the Annual Meeting. Abstentions and broker non-votes are not considered to be votes cast, and accordingly will have no effect on the outcome of the vote on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
        <w:gridCol w:w="102"/>
        <w:gridCol w:w="9697"/>
      </w:tblGrid>
      <w:tr>
        <w:trPr/>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center"/>
          </w:tcPr>
          <w:p>
            <w:pPr>
              <w:pStyle w:val="TableContents"/>
              <w:bidi w:val="0"/>
              <w:spacing w:before="0" w:after="0"/>
              <w:jc w:val="both"/>
              <w:rPr/>
            </w:pPr>
            <w:r>
              <w:rPr/>
              <w:drawing>
                <wp:inline distT="0" distB="0" distL="0" distR="0">
                  <wp:extent cx="22860" cy="228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860" cy="2286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0"/>
              <w:jc w:val="both"/>
              <w:rPr>
                <w:rFonts w:ascii="Times New Roman" w:hAnsi="Times New Roman"/>
                <w:b/>
                <w:sz w:val="20"/>
              </w:rPr>
            </w:pPr>
            <w:r>
              <w:rPr>
                <w:rFonts w:ascii="Times New Roman" w:hAnsi="Times New Roman"/>
                <w:b/>
                <w:sz w:val="20"/>
              </w:rPr>
              <w:t>The Board of Directors unanimously recommends a vote FOR the approval, on an advisory (non-binding) basis, of the compensation of our named executive officers.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4: Approval of the Amended and Restated 2022 Employee Stock Purchase Plan to Increase the Number of Shares Authorized for Issuance.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are asking our stockholders to approve the A&amp;R ESPP to increase the number of shares authorized for issuance under the current 2022 Employee Stock Purchase Plan by 2,000,000 shares, resulting in an increase to our A&amp;R ESPP available share reserve from 695,000 shares to 2,695,000 shares. Our Board, upon recommendation of our Compensation Committee, approved the increase by 2,000,000 shares of the shares authorized for issuance in April 2024, subject to stockholder approval. </w:t>
      </w:r>
    </w:p>
    <w:p>
      <w:pPr>
        <w:pStyle w:val="TextBody"/>
        <w:bidi w:val="0"/>
        <w:spacing w:before="240" w:after="0"/>
        <w:jc w:val="both"/>
        <w:rPr>
          <w:rFonts w:ascii="Times New Roman" w:hAnsi="Times New Roman"/>
          <w:sz w:val="20"/>
        </w:rPr>
      </w:pPr>
      <w:r>
        <w:rPr>
          <w:rFonts w:ascii="Times New Roman" w:hAnsi="Times New Roman"/>
          <w:sz w:val="20"/>
        </w:rPr>
        <w:t xml:space="preserve">The purpose of the A&amp;R ESPP is to assist our employees in acquiring a stock ownership interest in the Company pursuant to a plan which is intended to increase employee proprietary interest in our success and to encourage them to remain in the employment of the Company. We believe that the A&amp;R ESPP aligns employee interests with that of our stockholders, is an important component of the benefits we offer to our employees and serves as a key recruiting and retention tool in a competitive market. Since adoption of the A&amp;R ESPP in 2022, we averaged approximately 100 employees participating in the A&amp;R ESPP in each offering and purchase period. </w:t>
      </w:r>
    </w:p>
    <w:p>
      <w:pPr>
        <w:pStyle w:val="TextBody"/>
        <w:bidi w:val="0"/>
        <w:spacing w:before="240" w:after="0"/>
        <w:jc w:val="both"/>
        <w:rPr>
          <w:rFonts w:ascii="Times New Roman" w:hAnsi="Times New Roman"/>
          <w:sz w:val="20"/>
        </w:rPr>
      </w:pPr>
      <w:r>
        <w:rPr>
          <w:rFonts w:ascii="Times New Roman" w:hAnsi="Times New Roman"/>
          <w:sz w:val="20"/>
        </w:rPr>
        <w:t xml:space="preserve">The A&amp;R ESPP currently operates using consecutive and overlapping 24-month offering periods, each of which is comprised of four 6-month purchase periods. If approved by our stockholders, the increase in shares for the A&amp;R ESPP will go into effect for the first offering that commences after stockholder approval, currently scheduled for November 15, 2024. </w:t>
      </w:r>
    </w:p>
    <w:p>
      <w:pPr>
        <w:pStyle w:val="TextBody"/>
        <w:bidi w:val="0"/>
        <w:spacing w:before="240" w:after="0"/>
        <w:jc w:val="both"/>
        <w:rPr>
          <w:rFonts w:ascii="Times New Roman" w:hAnsi="Times New Roman"/>
          <w:sz w:val="20"/>
        </w:rPr>
      </w:pPr>
      <w:r>
        <w:rPr>
          <w:rFonts w:ascii="Times New Roman" w:hAnsi="Times New Roman"/>
          <w:sz w:val="20"/>
        </w:rPr>
        <w:t xml:space="preserve">Under the A&amp;R ESPP, eligible employees purchase our common stock at a discount through accumulated payroll deductions. The A&amp;R ESPP includes a component that is intended to qualify as an employee stock purchase plan under Section 423 of the Internal Revenue Code of 1986, as amended (the Code). </w:t>
      </w:r>
    </w:p>
    <w:p>
      <w:pPr>
        <w:pStyle w:val="TextBody"/>
        <w:bidi w:val="0"/>
        <w:spacing w:before="240" w:after="0"/>
        <w:jc w:val="both"/>
        <w:rPr>
          <w:rFonts w:ascii="Times New Roman" w:hAnsi="Times New Roman"/>
          <w:sz w:val="20"/>
        </w:rPr>
      </w:pPr>
      <w:r>
        <w:rPr>
          <w:rFonts w:ascii="Times New Roman" w:hAnsi="Times New Roman"/>
          <w:sz w:val="20"/>
        </w:rPr>
        <w:t xml:space="preserve">A copy of the proposed A&amp;R ESPP is included as Annex A to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A&amp;R ESPP became effective on June 9, 2022 when it was first approved by Company stockholders, and provides for the issuance of up to 6,950,000 shares of our common stock. The number of shares reserved for issuance under the A&amp;R ESPP was adjusted to 695,000 on April 21, 2023 to reflect the Companys 1 for 10 reverse stock split. Since the A&amp;R ESPP became effective, a total of 289,689 split-adjusted shares have been issued under the A&amp;R ESPP.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Background on Share Request </w:t>
      </w:r>
    </w:p>
    <w:p>
      <w:pPr>
        <w:pStyle w:val="TextBody"/>
        <w:bidi w:val="0"/>
        <w:spacing w:before="120" w:after="0"/>
        <w:jc w:val="both"/>
        <w:rPr>
          <w:rFonts w:ascii="Times New Roman" w:hAnsi="Times New Roman"/>
          <w:sz w:val="20"/>
        </w:rPr>
      </w:pPr>
      <w:r>
        <w:rPr>
          <w:rFonts w:ascii="Times New Roman" w:hAnsi="Times New Roman"/>
          <w:sz w:val="20"/>
        </w:rPr>
        <w:t xml:space="preserve">In its determination to approve the 2,000,000 share increase to the A&amp;R ESPP, our Board and Compensation Committee reviewed an analysis prepared by Semler Brossy, its compensation consultant, which included an analysis of our historical share usage, certain dilution metrics and the costs of the A&amp;R ESPP. Specifically, our Board and Compensation Committee considered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the Offering Period ended on November 15, 2023, we issued a total of 194,626 shares out of a maximum of 599,937 shares and saw the number of participants increase by approximately 1% over the prior year. Further, participating employees for the Offering Period ended May 15, 2024 elected to contribute an average of 9% of their eligible earnings to purchase shares under the A&amp;R ESPP. As such, our Board and Compensation Committee believe that the A&amp;R ESPP acts as an important incentive to both newly hired and existing employees to invest in our common stock and aligning their interests with the interests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Board and Compensation Committee considered the dilutive effect of the share increase to the A&amp;R ESPP and sought to balance such dilutive effect with the benefits of providing sufficient shares to promote employee participation. We anticipate the additional 2,000,000 shares under the A&amp;R ESPP plus our current share reserve would provide sufficient shares in the plan reserve for approximately five years after the Annual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light of the factors described above, and our Boards and our Compensation Committees assessment that the ability to continue to offer the opportunity to purchase shares of our common stock is important to our ability to continue to attract and retain employees in the labor markets in which we compete, our Board and our Compensation Committee have determined that the size of the increase in the share reserve under the A&amp;R ESPP is reasonable and appropriate at this time.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Summary of the A&amp;R ESPP </w:t>
      </w:r>
    </w:p>
    <w:p>
      <w:pPr>
        <w:pStyle w:val="TextBody"/>
        <w:bidi w:val="0"/>
        <w:spacing w:before="120" w:after="0"/>
        <w:jc w:val="both"/>
        <w:rPr>
          <w:rFonts w:ascii="Times New Roman" w:hAnsi="Times New Roman"/>
          <w:sz w:val="20"/>
        </w:rPr>
      </w:pPr>
      <w:r>
        <w:rPr>
          <w:rFonts w:ascii="Times New Roman" w:hAnsi="Times New Roman"/>
          <w:sz w:val="20"/>
        </w:rPr>
        <w:t xml:space="preserve">The A&amp;R ESPP is designed to allow eligible employees and consultants of the Company and its subsidiaries that are designated to participate in the A&amp;R ESPP to purchase shares of Ouster common stock with their accumulated payroll deductions. The A&amp;R ESPP is divided into two components: the Section 423 Component and the Non-Section 423 Component. The Section 423 Component is intended to qualify under Section 423 of the Code. The Non-Section 423 Component is not intended to qualify under Section 423 of the Code and will be used to permit certain non-U.S. employees, eligible consultants and certain U.S. employees who are employed by certain of our subsidiaries that do not participate in the Section 423 Component to purchase shares of Ouster common stock on similar terms as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provisions of the A&amp;R ESPP are summarized below. This summary is qualified by reference to the full text of the A&amp;R ESPP, which is attached as Annex A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terms and conditions of the A&amp;R ESPP, the Compensation Committee administers the A&amp;R ESPP. The Compensation Committee can delegate administrative tasks under the A&amp;R ESPP to the services of an agent and/or employees to assist in the administration of the A&amp;R ESPP. The administrator will have the discretionary authority to administer and interpret the A&amp;R ESPP. Interpretations and constructions of the administrator of any provision of the A&amp;R ESPP or of any rights thereunder will be conclusive and binding on all persons. We bear all expenses and liabilities incurred in the A&amp;R ESPP administration.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Awards </w:t>
      </w:r>
    </w:p>
    <w:p>
      <w:pPr>
        <w:pStyle w:val="TextBody"/>
        <w:bidi w:val="0"/>
        <w:spacing w:before="120" w:after="0"/>
        <w:jc w:val="both"/>
        <w:rPr>
          <w:rFonts w:ascii="Times New Roman" w:hAnsi="Times New Roman"/>
          <w:sz w:val="20"/>
        </w:rPr>
      </w:pPr>
      <w:r>
        <w:rPr>
          <w:rFonts w:ascii="Times New Roman" w:hAnsi="Times New Roman"/>
          <w:sz w:val="20"/>
        </w:rPr>
        <w:t xml:space="preserve">The maximum number of shares of our common stock that will be authorized for sale under the A&amp;R ESPP is 2,695,000 shares of common stock. The shares reserved for issuance under the A&amp;R ESPP may be authorized but unissued shares or reacquired shares.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Employees eligible to participate in the A&amp;R ESPP for a given offering period generally include employees who are employed by us or one of our designated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A&amp;R ESPP. Finally, an employee who owns (or is deemed to own through attribution) 5% or more of the combined voting power or value of all our classes of stock or of one of our subsidiaries are not allowed to participate in the A&amp;R ESPP. </w:t>
      </w:r>
    </w:p>
    <w:p>
      <w:pPr>
        <w:pStyle w:val="TextBody"/>
        <w:bidi w:val="0"/>
        <w:spacing w:before="240" w:after="0"/>
        <w:jc w:val="both"/>
        <w:rPr>
          <w:rFonts w:ascii="Times New Roman" w:hAnsi="Times New Roman"/>
          <w:sz w:val="20"/>
        </w:rPr>
      </w:pPr>
      <w:r>
        <w:rPr>
          <w:rFonts w:ascii="Times New Roman" w:hAnsi="Times New Roman"/>
          <w:sz w:val="20"/>
        </w:rPr>
        <w:t xml:space="preserve">A consultant may be designated by the Committee to participate in the Non-Section 423 Component if the consultant is engaged by us or one of our designated subsidiaries, including, without limitation, through a professional employer organization, on a given enrollment date for an offering period. In no event shall a consultant be eligible to participate in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As of March 31, 2024, we had approximately 220 employees who could have been eligible to participate in the Section 423 Component, and we do not currently permit any of our non-employee directors or consultants to participate.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Participation </w:t>
      </w:r>
    </w:p>
    <w:p>
      <w:pPr>
        <w:pStyle w:val="TextBody"/>
        <w:bidi w:val="0"/>
        <w:spacing w:before="120" w:after="0"/>
        <w:jc w:val="both"/>
        <w:rPr>
          <w:rFonts w:ascii="Times New Roman" w:hAnsi="Times New Roman"/>
          <w:sz w:val="20"/>
        </w:rPr>
      </w:pPr>
      <w:r>
        <w:rPr>
          <w:rFonts w:ascii="Times New Roman" w:hAnsi="Times New Roman"/>
          <w:sz w:val="20"/>
        </w:rPr>
        <w:t xml:space="preserve">Employees may enroll under the A&amp;R ESPP by completing a payroll deduction form permitting the deduction from their compensation of at least 1% of their compensation but not more than 15% of their compensation. Such payroll deductions may be expressed as either a whole number percentage or a fixed dollar amount, and the accumulated deductions will be applied to the purchase of shares on each purchase date. Eligible consultants may become a participant in the Non-Section 423 Component by completing a fee deduction authorization. </w:t>
      </w:r>
    </w:p>
    <w:p>
      <w:pPr>
        <w:pStyle w:val="TextBody"/>
        <w:bidi w:val="0"/>
        <w:spacing w:before="360" w:after="0"/>
        <w:jc w:val="left"/>
        <w:rPr>
          <w:rFonts w:ascii="Times New Roman" w:hAnsi="Times New Roman"/>
          <w:i/>
          <w:sz w:val="20"/>
        </w:rPr>
      </w:pPr>
      <w:r>
        <w:rPr>
          <w:rFonts w:ascii="Times New Roman" w:hAnsi="Times New Roman"/>
          <w:i/>
          <w:sz w:val="20"/>
        </w:rPr>
        <w:t xml:space="preserve">Offering </w:t>
      </w:r>
    </w:p>
    <w:p>
      <w:pPr>
        <w:pStyle w:val="TextBody"/>
        <w:bidi w:val="0"/>
        <w:spacing w:before="120" w:after="0"/>
        <w:jc w:val="both"/>
        <w:rPr>
          <w:rFonts w:ascii="Times New Roman" w:hAnsi="Times New Roman"/>
          <w:sz w:val="20"/>
        </w:rPr>
      </w:pPr>
      <w:r>
        <w:rPr>
          <w:rFonts w:ascii="Times New Roman" w:hAnsi="Times New Roman"/>
          <w:sz w:val="20"/>
        </w:rPr>
        <w:t xml:space="preserve">Under the A&amp;R ESPP, participants are offered the option to purchase shares of our common stock at a discount during a series of successive and overlapping offering periods, the duration and timing of which will be determined by the A&amp;R ESPP administrator. However, in no event may an offering period be longer than 27 months in length. The offering periods are each comprised of one or more equal length or shorter purchase periods. Currently, each offering period is 24 months and comprised of four 6-month purchase periods. If the fair market value of a share of common stock on any exercise date (other than the final scheduled exercise date of an offering period) is lower than the fair market value of a share of common stock on the grant date of an offering period, then the offering period will automatically terminate, and each participant will automatically be enrolled in the next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The option purchase price will be the lower of 85% of the closing trading price per share of our common stock on the first trading date of an offering period in which a participant is enrolled or 85% of the closing trading price per share on the purchase date. Our closing trading price of our common stock as of April 15, 2024 was $7.63. </w:t>
      </w:r>
    </w:p>
    <w:p>
      <w:pPr>
        <w:pStyle w:val="TextBody"/>
        <w:bidi w:val="0"/>
        <w:spacing w:before="240" w:after="0"/>
        <w:jc w:val="both"/>
        <w:rPr>
          <w:rFonts w:ascii="Times New Roman" w:hAnsi="Times New Roman"/>
          <w:sz w:val="20"/>
        </w:rPr>
      </w:pPr>
      <w:r>
        <w:rPr>
          <w:rFonts w:ascii="Times New Roman" w:hAnsi="Times New Roman"/>
          <w:sz w:val="20"/>
        </w:rPr>
        <w:t xml:space="preserve">Under the Section 423 Component, participants may not purchase shares of our common stock at a rate which exceeds $25,000 of fair market value of our stock (determined at the time the option to purchase shares under the A&amp;R ESPP is granted) for each calendar year in which the option is outstanding (as determined in accordance with Section 423 of the Code). </w:t>
      </w:r>
    </w:p>
    <w:p>
      <w:pPr>
        <w:pStyle w:val="TextBody"/>
        <w:bidi w:val="0"/>
        <w:spacing w:before="240" w:after="0"/>
        <w:jc w:val="both"/>
        <w:rPr>
          <w:rFonts w:ascii="Times New Roman" w:hAnsi="Times New Roman"/>
          <w:sz w:val="20"/>
        </w:rPr>
      </w:pPr>
      <w:r>
        <w:rPr>
          <w:rFonts w:ascii="Times New Roman" w:hAnsi="Times New Roman"/>
          <w:sz w:val="20"/>
        </w:rPr>
        <w:t xml:space="preserve">Unless a participant has previously canceled his or her participation in the A&amp;R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w:t>
      </w:r>
    </w:p>
    <w:p>
      <w:pPr>
        <w:pStyle w:val="TextBody"/>
        <w:bidi w:val="0"/>
        <w:spacing w:before="240" w:after="0"/>
        <w:jc w:val="both"/>
        <w:rPr>
          <w:rFonts w:ascii="Times New Roman" w:hAnsi="Times New Roman"/>
          <w:sz w:val="20"/>
        </w:rPr>
      </w:pPr>
      <w:r>
        <w:rPr>
          <w:rFonts w:ascii="Times New Roman" w:hAnsi="Times New Roman"/>
          <w:sz w:val="20"/>
        </w:rPr>
        <w:t xml:space="preserve">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 </w:t>
      </w:r>
    </w:p>
    <w:p>
      <w:pPr>
        <w:pStyle w:val="TextBody"/>
        <w:bidi w:val="0"/>
        <w:spacing w:before="240" w:after="0"/>
        <w:jc w:val="both"/>
        <w:rPr>
          <w:rFonts w:ascii="Times New Roman" w:hAnsi="Times New Roman"/>
          <w:sz w:val="20"/>
        </w:rPr>
      </w:pPr>
      <w:r>
        <w:rPr>
          <w:rFonts w:ascii="Times New Roman" w:hAnsi="Times New Roman"/>
          <w:sz w:val="20"/>
        </w:rPr>
        <w:t xml:space="preserve">A participant may not assign, transfer, pledge or otherwise dispose of (other than by will or the laws of descent and distribution) payroll deductions credited to a participants account or any rights to exercise an option or to receive shares of our common stock under the A&amp;R ESPP, and during a participants lifetime, options in the A&amp;R ESPP shall be exercisable only by such participant. Any such attempt at assignment, transfer, pledge or other disposition will not be given effect.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any increase or decrease in the number of issued shares of our common stock resulting from a stock split, reverse stock split, stock dividend, combination or reclassification of the common stock,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increase or decrease in the number of shares of common stock effected without receipt of consideration by us, we will proportionately adjust the aggregate number of shares of our common stock offered under the A&amp;R ESPP, the number and price of shares which any participant has elected to purchase under the A&amp;R ESPP and the maximum number of shares which a participant may elect to purchase in any single offering period. If there is a proposal to dissolve or liquidate us, then the A&amp;R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and Termination </w:t>
      </w:r>
    </w:p>
    <w:p>
      <w:pPr>
        <w:pStyle w:val="TextBody"/>
        <w:bidi w:val="0"/>
        <w:spacing w:before="120" w:after="0"/>
        <w:jc w:val="both"/>
        <w:rPr>
          <w:rFonts w:ascii="Times New Roman" w:hAnsi="Times New Roman"/>
          <w:sz w:val="20"/>
        </w:rPr>
      </w:pPr>
      <w:r>
        <w:rPr>
          <w:rFonts w:ascii="Times New Roman" w:hAnsi="Times New Roman"/>
          <w:sz w:val="20"/>
        </w:rPr>
        <w:t xml:space="preserve">The Board may amend, suspend or terminate the A&amp;R ESPP at any time. However, the Board may not amend the A&amp;R ESPP without obtaining shareholder approval within 12 months before or after such amendment to the extent required by applicable laws. </w:t>
      </w:r>
    </w:p>
    <w:p>
      <w:pPr>
        <w:pStyle w:val="TextBody"/>
        <w:bidi w:val="0"/>
        <w:spacing w:before="360" w:after="0"/>
        <w:jc w:val="left"/>
        <w:rPr>
          <w:rFonts w:ascii="Times New Roman" w:hAnsi="Times New Roman"/>
          <w:i/>
          <w:sz w:val="20"/>
        </w:rPr>
      </w:pPr>
      <w:r>
        <w:rPr>
          <w:rFonts w:ascii="Times New Roman" w:hAnsi="Times New Roman"/>
          <w:i/>
          <w:sz w:val="20"/>
        </w:rPr>
        <w:t xml:space="preserve">Material United States Federal Income Tax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general summary under current law of the principal United States federal income tax consequences related to the purchase of shares under the A&amp;R ESPP. This summary deals with the general federal income tax principles that apply and is provided only for general information. Certain taxes, such as state, local and foreign income taxes and federal employment taxes, are not discussed. As such, tax consequences for employees participating in the Non-Section 423 Component of the A&amp;R ESPP are not discussed. This summary is not intended as tax advice to participants, who should consult their own tax advisors. </w:t>
      </w:r>
    </w:p>
    <w:p>
      <w:pPr>
        <w:pStyle w:val="TextBody"/>
        <w:bidi w:val="0"/>
        <w:spacing w:before="240" w:after="0"/>
        <w:jc w:val="both"/>
        <w:rPr>
          <w:rFonts w:ascii="Times New Roman" w:hAnsi="Times New Roman"/>
          <w:sz w:val="20"/>
        </w:rPr>
      </w:pPr>
      <w:r>
        <w:rPr>
          <w:rFonts w:ascii="Times New Roman" w:hAnsi="Times New Roman"/>
          <w:sz w:val="20"/>
        </w:rPr>
        <w:t xml:space="preserve">The Section 423 Component of the A&amp;R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A&amp;R ESPP. This means that an eligible employee will not recognize taxable income on the date the employee is granted an option under the A&amp;R ESPP. In addition, the employee will not recognize taxable income upon the purchase of shares. Upon such sale or disposition, the participant generally will be subject to tax in an amount that depends upon the length of time such shares are held by the participant prior to disposing of them. If the shares are sold or disposed of more than two years from the date of grant and more than one year from the date of purchase, or if the participant dies while holding the shares, the participant (or his or her estate) will recognize ordinary income measured as the lesser of (i) the excess of the fair market value of the shares at the time of such sale or disposition (or death) over the purchase price or (ii) an amount equal to the applicable discount from the fair market value of the shares as of the date of grant.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bidi w:val="0"/>
        <w:spacing w:before="240" w:after="0"/>
        <w:jc w:val="both"/>
        <w:rPr>
          <w:rFonts w:ascii="Times New Roman" w:hAnsi="Times New Roman"/>
          <w:sz w:val="20"/>
        </w:rPr>
      </w:pPr>
      <w:r>
        <w:rPr>
          <w:rFonts w:ascii="Times New Roman" w:hAnsi="Times New Roman"/>
          <w:sz w:val="20"/>
        </w:rPr>
        <w:t xml:space="preserve">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Ouster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Ouster will be entitled to a corresponding deduction), but the participant generally will be able to report a capital loss equal to the difference between the sales price of the shares and the fair market value of the shares on the date of purchase.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both"/>
        <w:rPr>
          <w:rFonts w:ascii="Times New Roman" w:hAnsi="Times New Roman"/>
          <w:sz w:val="20"/>
        </w:rPr>
      </w:pPr>
      <w:r>
        <w:rPr>
          <w:rFonts w:ascii="Times New Roman" w:hAnsi="Times New Roman"/>
          <w:sz w:val="20"/>
        </w:rPr>
        <w:t xml:space="preserve">The number of shares of our common stock that may be purchased under the A&amp;R ESPP is dependent upon the fair market value of our common stock on the first of the offering period and last day of the purchase period, the voluntary election by each eligible employee to participate and the amount each participant has elected to contribute to an offering period, and is not currently determinable.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states the amounts which were received by each of the named individuals and groups under our A&amp;R ESPP from its inception through November 15,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25"/>
        <w:gridCol w:w="426"/>
        <w:gridCol w:w="60"/>
        <w:gridCol w:w="832"/>
        <w:gridCol w:w="62"/>
      </w:tblGrid>
      <w:tr>
        <w:trPr/>
        <w:tc>
          <w:tcPr>
            <w:tcW w:w="8825"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25" w:type="dxa"/>
            <w:tcBorders>
              <w:bottom w:val="single" w:sz="2" w:space="0" w:color="000000"/>
            </w:tcBorders>
            <w:tcMar>
              <w:bottom w:w="60" w:type="dxa"/>
            </w:tcMar>
            <w:vAlign w:val="bottom"/>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426" w:type="dxa"/>
            <w:tcBorders>
              <w:bottom w:val="single" w:sz="2" w:space="0" w:color="000000"/>
            </w:tcBorders>
            <w:tcMar>
              <w:bottom w:w="28" w:type="dxa"/>
            </w:tcMar>
            <w:vAlign w:val="bottom"/>
          </w:tcPr>
          <w:p>
            <w:pPr>
              <w:pStyle w:val="TableContents"/>
              <w:bidi w:val="0"/>
              <w:spacing w:before="0" w:after="283"/>
              <w:jc w:val="left"/>
              <w:rPr/>
            </w:pPr>
            <w:r>
              <w:rPr/>
              <w:t>  </w:t>
            </w:r>
          </w:p>
        </w:tc>
        <w:tc>
          <w:tcPr>
            <w:tcW w:w="954" w:type="dxa"/>
            <w:gridSpan w:val="3"/>
            <w:tcBorders>
              <w:bottom w:val="single" w:sz="2" w:space="0" w:color="000000"/>
            </w:tcBorders>
            <w:tcMar>
              <w:bottom w:w="60" w:type="dxa"/>
            </w:tcMar>
            <w:vAlign w:val="bottom"/>
          </w:tcPr>
          <w:p>
            <w:pPr>
              <w:pStyle w:val="TableContents"/>
              <w:bidi w:val="0"/>
              <w:spacing w:before="0" w:after="0"/>
              <w:jc w:val="center"/>
              <w:rPr>
                <w:rFonts w:ascii="Times New Roman" w:hAnsi="Times New Roman"/>
                <w:b/>
                <w:sz w:val="18"/>
              </w:rPr>
            </w:pPr>
            <w:r>
              <w:rPr>
                <w:rFonts w:ascii="Times New Roman" w:hAnsi="Times New Roman"/>
                <w:b/>
                <w:sz w:val="18"/>
              </w:rPr>
              <w:t>Number of</w:t>
              <w:br/>
              <w:t>Shares</w:t>
            </w:r>
          </w:p>
          <w:p>
            <w:pPr>
              <w:pStyle w:val="TableContents"/>
              <w:bidi w:val="0"/>
              <w:spacing w:before="0" w:after="20"/>
              <w:jc w:val="center"/>
              <w:rPr>
                <w:rFonts w:ascii="Times New Roman" w:hAnsi="Times New Roman"/>
                <w:b/>
                <w:sz w:val="18"/>
              </w:rPr>
            </w:pPr>
            <w:r>
              <w:rPr>
                <w:rFonts w:ascii="Times New Roman" w:hAnsi="Times New Roman"/>
                <w:b/>
                <w:sz w:val="18"/>
              </w:rPr>
              <w:t>(#)</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Angus Pacala</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tcPr>
          <w:p>
            <w:pPr>
              <w:pStyle w:val="TableContents"/>
              <w:bidi w:val="0"/>
              <w:spacing w:before="0" w:after="0"/>
              <w:jc w:val="left"/>
              <w:rPr>
                <w:rFonts w:ascii="Times New Roman" w:hAnsi="Times New Roman"/>
                <w:sz w:val="16"/>
              </w:rPr>
            </w:pPr>
            <w:r>
              <w:rPr>
                <w:rFonts w:ascii="Times New Roman" w:hAnsi="Times New Roman"/>
                <w:sz w:val="16"/>
              </w:rPr>
              <w:t>Mark Weinswig</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3,000</w:t>
            </w:r>
          </w:p>
        </w:tc>
        <w:tc>
          <w:tcPr>
            <w:tcW w:w="62" w:type="dxa"/>
            <w:tcBorders/>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Darien Spencer</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tcPr>
          <w:p>
            <w:pPr>
              <w:pStyle w:val="TableContents"/>
              <w:bidi w:val="0"/>
              <w:spacing w:before="0" w:after="0"/>
              <w:jc w:val="left"/>
              <w:rPr>
                <w:rFonts w:ascii="Times New Roman" w:hAnsi="Times New Roman"/>
                <w:b/>
                <w:sz w:val="16"/>
              </w:rPr>
            </w:pPr>
            <w:r>
              <w:rPr>
                <w:rFonts w:ascii="Times New Roman" w:hAnsi="Times New Roman"/>
                <w:b/>
                <w:sz w:val="16"/>
              </w:rPr>
              <w:t>All current executive officers as a group</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4,193</w:t>
            </w:r>
          </w:p>
        </w:tc>
        <w:tc>
          <w:tcPr>
            <w:tcW w:w="62" w:type="dxa"/>
            <w:tcBorders/>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All current non-executive officer directors as a group(1)</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w:t>
            </w:r>
          </w:p>
        </w:tc>
        <w:tc>
          <w:tcPr>
            <w:tcW w:w="62" w:type="dxa"/>
            <w:tcBorders/>
            <w:shd w:fill="CCEEFF" w:val="clear"/>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tcPr>
          <w:p>
            <w:pPr>
              <w:pStyle w:val="TableContents"/>
              <w:bidi w:val="0"/>
              <w:spacing w:before="0" w:after="0"/>
              <w:jc w:val="left"/>
              <w:rPr>
                <w:rFonts w:ascii="Times New Roman" w:hAnsi="Times New Roman"/>
                <w:b/>
                <w:sz w:val="16"/>
              </w:rPr>
            </w:pPr>
            <w:r>
              <w:rPr>
                <w:rFonts w:ascii="Times New Roman" w:hAnsi="Times New Roman"/>
                <w:b/>
                <w:sz w:val="16"/>
              </w:rPr>
              <w:t>All nominees for election as a director</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w:t>
            </w:r>
          </w:p>
        </w:tc>
        <w:tc>
          <w:tcPr>
            <w:tcW w:w="62" w:type="dxa"/>
            <w:tcBorders/>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Susan Heystee</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tcPr>
          <w:p>
            <w:pPr>
              <w:pStyle w:val="TableContents"/>
              <w:bidi w:val="0"/>
              <w:spacing w:before="0" w:after="0"/>
              <w:jc w:val="left"/>
              <w:rPr>
                <w:rFonts w:ascii="Times New Roman" w:hAnsi="Times New Roman"/>
                <w:sz w:val="16"/>
              </w:rPr>
            </w:pPr>
            <w:r>
              <w:rPr>
                <w:rFonts w:ascii="Times New Roman" w:hAnsi="Times New Roman"/>
                <w:sz w:val="16"/>
              </w:rPr>
              <w:t>Angus Pacala</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Theodore L. Tewksbury, Ph.D.</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tcPr>
          <w:p>
            <w:pPr>
              <w:pStyle w:val="TableContents"/>
              <w:bidi w:val="0"/>
              <w:spacing w:before="0" w:after="0"/>
              <w:jc w:val="left"/>
              <w:rPr>
                <w:rFonts w:ascii="Times New Roman" w:hAnsi="Times New Roman"/>
                <w:b/>
                <w:sz w:val="16"/>
              </w:rPr>
            </w:pPr>
            <w:r>
              <w:rPr>
                <w:rFonts w:ascii="Times New Roman" w:hAnsi="Times New Roman"/>
                <w:b/>
                <w:sz w:val="16"/>
              </w:rPr>
              <w:t>Associate of any such directors, executive officers or nominees</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w:t>
            </w:r>
          </w:p>
        </w:tc>
        <w:tc>
          <w:tcPr>
            <w:tcW w:w="62" w:type="dxa"/>
            <w:tcBorders/>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Other persons who received or is to receive 5% of such options or rights</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w:t>
            </w:r>
          </w:p>
        </w:tc>
        <w:tc>
          <w:tcPr>
            <w:tcW w:w="62" w:type="dxa"/>
            <w:tcBorders/>
            <w:shd w:fill="CCEEFF" w:val="clear"/>
            <w:vAlign w:val="bottom"/>
          </w:tcPr>
          <w:p>
            <w:pPr>
              <w:pStyle w:val="TableContents"/>
              <w:bidi w:val="0"/>
              <w:spacing w:before="0" w:after="283"/>
              <w:jc w:val="left"/>
              <w:rPr/>
            </w:pPr>
            <w:r>
              <w:rPr/>
              <w:t> </w:t>
            </w:r>
          </w:p>
        </w:tc>
      </w:tr>
      <w:tr>
        <w:trPr>
          <w:trHeight w:val="60" w:hRule="atLeast"/>
        </w:trPr>
        <w:tc>
          <w:tcPr>
            <w:tcW w:w="8825" w:type="dxa"/>
            <w:tcBorders/>
            <w:vAlign w:val="center"/>
          </w:tcPr>
          <w:p>
            <w:pPr>
              <w:pStyle w:val="TableContents"/>
              <w:bidi w:val="0"/>
              <w:spacing w:before="0" w:after="283"/>
              <w:jc w:val="left"/>
              <w:rPr>
                <w:sz w:val="4"/>
                <w:szCs w:val="4"/>
              </w:rPr>
            </w:pPr>
            <w:r>
              <w:rPr>
                <w:sz w:val="4"/>
                <w:szCs w:val="4"/>
              </w:rPr>
            </w:r>
          </w:p>
        </w:tc>
        <w:tc>
          <w:tcPr>
            <w:tcW w:w="1380" w:type="dxa"/>
            <w:gridSpan w:val="4"/>
            <w:tcBorders/>
            <w:vAlign w:val="center"/>
          </w:tcPr>
          <w:p>
            <w:pPr>
              <w:pStyle w:val="TableContents"/>
              <w:bidi w:val="0"/>
              <w:spacing w:before="0" w:after="283"/>
              <w:jc w:val="left"/>
              <w:rPr>
                <w:sz w:val="4"/>
                <w:szCs w:val="4"/>
              </w:rPr>
            </w:pPr>
            <w:r>
              <w:rPr>
                <w:sz w:val="4"/>
                <w:szCs w:val="4"/>
              </w:rPr>
            </w:r>
          </w:p>
        </w:tc>
      </w:tr>
      <w:tr>
        <w:trPr/>
        <w:tc>
          <w:tcPr>
            <w:tcW w:w="8825" w:type="dxa"/>
            <w:tcBorders>
              <w:bottom w:val="single" w:sz="2" w:space="0" w:color="000000"/>
            </w:tcBorders>
            <w:tcMar>
              <w:bottom w:w="60" w:type="dxa"/>
            </w:tcMar>
          </w:tcPr>
          <w:p>
            <w:pPr>
              <w:pStyle w:val="TableContents"/>
              <w:bidi w:val="0"/>
              <w:spacing w:before="0" w:after="0"/>
              <w:jc w:val="left"/>
              <w:rPr>
                <w:rFonts w:ascii="Times New Roman" w:hAnsi="Times New Roman"/>
                <w:b/>
                <w:sz w:val="16"/>
              </w:rPr>
            </w:pPr>
            <w:r>
              <w:rPr>
                <w:rFonts w:ascii="Times New Roman" w:hAnsi="Times New Roman"/>
                <w:b/>
                <w:sz w:val="16"/>
              </w:rPr>
              <w:t>All non-executive officer employees as a group</w:t>
            </w:r>
          </w:p>
        </w:tc>
        <w:tc>
          <w:tcPr>
            <w:tcW w:w="426"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832" w:type="dxa"/>
            <w:tcBorders>
              <w:bottom w:val="single" w:sz="2" w:space="0" w:color="000000"/>
            </w:tcBorders>
            <w:tcMar>
              <w:bottom w:w="60" w:type="dxa"/>
            </w:tcMar>
            <w:vAlign w:val="bottom"/>
          </w:tcPr>
          <w:p>
            <w:pPr>
              <w:pStyle w:val="TableContents"/>
              <w:bidi w:val="0"/>
              <w:spacing w:before="0" w:after="283"/>
              <w:jc w:val="right"/>
              <w:rPr>
                <w:b/>
              </w:rPr>
            </w:pPr>
            <w:r>
              <w:rPr>
                <w:b/>
              </w:rPr>
              <w:t>282,496</w:t>
            </w:r>
          </w:p>
        </w:tc>
        <w:tc>
          <w:tcPr>
            <w:tcW w:w="62"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Non-executive officer directors are not eligible to participate in the A&amp;R ESPP.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approval of the A&amp;R ESPP to increase the number of shares authorized for issuance will require the affirmative vote of the holders of a majority in voting power of the votes cast at the Annual Meeting. Abstentions and broker non-votes are not considered to be votes cast, and accordingly will have no effect on the outcome of the vote on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0"/>
              <w:jc w:val="both"/>
              <w:rPr/>
            </w:pPr>
            <w:r>
              <w:rPr/>
              <w:drawing>
                <wp:inline distT="0" distB="0" distL="0" distR="0">
                  <wp:extent cx="22860" cy="228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860" cy="2286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0"/>
              <w:jc w:val="both"/>
              <w:rPr>
                <w:rFonts w:ascii="Times New Roman" w:hAnsi="Times New Roman"/>
                <w:b/>
                <w:sz w:val="20"/>
              </w:rPr>
            </w:pPr>
            <w:r>
              <w:rPr>
                <w:rFonts w:ascii="Times New Roman" w:hAnsi="Times New Roman"/>
                <w:b/>
                <w:sz w:val="20"/>
              </w:rPr>
              <w:t>The Board of Directors unanimously recommends a vote FOR the approval of the A&amp;R ESPP to increase the number of shares authorized for issuance.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5: Approval of the Velodyne Lidar, Inc. 2020 Equity Incentive Plan.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are asking our stockholders to approve the Velodyne Plan so that we can make grants of equity awards under the Velodyne Plan to all of our service providers without regard to whether those service providers previously provided services to the Company. The Velodyne Plan was adopted by the board of directors of Graf Industrial Corp. (Graf) on September 13, 2020 and was approved by Graf stockholders on September 29, 2020 in connection with the business combination of Graf with Velodyne. The Company assumed the Velodyne Plan on February 10, 2023 in connection with its merger with Velodyne (the Velodyne Merger), and, in connection with the assumption, all outstanding awards under the Velodyne Plan, as well as the shares available for issuance under the Velodyne Plan and the formula for automatic share reserve increases under the Velodyne Plan, were adjusted to reflect the 0.8402 shares of Company common stock received by Velodyne stockholders in exchange for each Velodyne share of common stock. All outstanding awards under the Velodyne Plan, as well as the shares available for issuance under the Velodyne Plan and the formula for automatic share reserve increases under the Velodyne Plan, were further adjusted on April 21, 2023 to reflect the Companys 1 for 10 reverse stock split. </w:t>
      </w:r>
    </w:p>
    <w:p>
      <w:pPr>
        <w:pStyle w:val="TextBody"/>
        <w:bidi w:val="0"/>
        <w:spacing w:before="240" w:after="0"/>
        <w:jc w:val="both"/>
        <w:rPr>
          <w:rFonts w:ascii="Times New Roman" w:hAnsi="Times New Roman"/>
          <w:sz w:val="20"/>
        </w:rPr>
      </w:pPr>
      <w:r>
        <w:rPr>
          <w:rFonts w:ascii="Times New Roman" w:hAnsi="Times New Roman"/>
          <w:sz w:val="20"/>
        </w:rPr>
        <w:t xml:space="preserve">After applying the adjustments described above, an aggregate of 3,363,709 shares of Company common stock have been reserved for issuance under the Velodyne Plan. The number of shares reserved for issuance under the Velodyne Plan increases automatically on the first business day of each of our fiscal years, with the next increase scheduled for January 1, 2025, ending on and including January 1, 2030 by a number equal to the lesser of (i) 820,400 or (ii) a smaller number of shares of the Companys common stock determined by the Board. Shares of the Companys common stock subject to or issued pursuant to awards that are forfeited, cancelled or expire before being exercised or settled shall again become available for issuance under the Velodyne Plan as well as shares issued pursuant to an award but later reacquired by the Company and any shares applied to pay the exercise price of any options or satisfy tax withholding obligations.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New York Stock Exchange Listed Company Manual, following the assumption of the Velodyne Plan in the Velodyne Merger, we can only make grants under the Velodyne Plan to service providers who did not provide services to the Company or its subsidiaries prior to February 10, 2023, the date the Velodyne Merger closed. We are asking our stockholders to approve the Velodyne Plan to permit grants to be made to all service providers of the Company and its subsidiaries, including service providers who provided services to the Company and its subsidiaries prior to February 10, 2023. </w:t>
      </w:r>
    </w:p>
    <w:p>
      <w:pPr>
        <w:pStyle w:val="TextBody"/>
        <w:bidi w:val="0"/>
        <w:spacing w:before="240" w:after="0"/>
        <w:jc w:val="both"/>
        <w:rPr>
          <w:rFonts w:ascii="Times New Roman" w:hAnsi="Times New Roman"/>
          <w:sz w:val="20"/>
        </w:rPr>
      </w:pPr>
      <w:r>
        <w:rPr>
          <w:rFonts w:ascii="Times New Roman" w:hAnsi="Times New Roman"/>
          <w:sz w:val="20"/>
        </w:rPr>
        <w:t xml:space="preserve">A summary of the Velodyne Plan is set forth below. This summary is qualified in its entirety by the full text of the Velodyne Plan, which is attached Annex B.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Requesting Stockholder Approval </w:t>
      </w:r>
    </w:p>
    <w:p>
      <w:pPr>
        <w:pStyle w:val="TextBody"/>
        <w:bidi w:val="0"/>
        <w:spacing w:before="120" w:after="0"/>
        <w:jc w:val="both"/>
        <w:rPr>
          <w:rFonts w:ascii="Times New Roman" w:hAnsi="Times New Roman"/>
          <w:sz w:val="20"/>
        </w:rPr>
      </w:pPr>
      <w:r>
        <w:rPr>
          <w:rFonts w:ascii="Times New Roman" w:hAnsi="Times New Roman"/>
          <w:sz w:val="20"/>
        </w:rPr>
        <w:t xml:space="preserve">Our Board unanimously recommends that you vote </w:t>
      </w:r>
      <w:r>
        <w:rPr>
          <w:rFonts w:ascii="Times New Roman" w:hAnsi="Times New Roman"/>
          <w:b/>
          <w:sz w:val="20"/>
        </w:rPr>
        <w:t>FOR</w:t>
      </w:r>
      <w:r>
        <w:rPr>
          <w:rFonts w:ascii="Times New Roman" w:hAnsi="Times New Roman"/>
          <w:sz w:val="20"/>
        </w:rPr>
        <w:t xml:space="preserve"> the Velodyne Plan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not expanding the number of shares to be reserved for issuance under the Velodyne Plan or otherwise amending the terms of the Velodyne Plan, but rather just expanding which of our service providers may be granted awards under the Velodyne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Companys goal of integration and treatment of all employees as employees of the Company is severely affected by this non-substantive requirement that grants under the Velodyne Plan only be made to service providers who did not provide services to the Company or its subsidiaries prior to February 10, 2023. This arbitrary constraint impairs our ability to allocate equity awards among our service providers without regard to whether the service provider is a legacy Company service provider or Velodyne service provider while serving no substantive purpose since the affected service providers are all service providers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is seeking to eliminate or reduce burdensome administrative tasks that serve no purpose and consume Company resources whether time, labor or both. Through the Velodyne Merger, the Company assumed the Velodyne Plan previously approved by the Velodyne stockholders. The Company must track and administer the Velodyne Plan separately, including tracking grants and forfeitures separately for legacy Velodyne service providers (e.g., employees and directors) from legacy Company service providers.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Burn Rate and Overhang </w:t>
      </w:r>
    </w:p>
    <w:p>
      <w:pPr>
        <w:pStyle w:val="TextBody"/>
        <w:bidi w:val="0"/>
        <w:spacing w:before="120" w:after="0"/>
        <w:jc w:val="both"/>
        <w:rPr>
          <w:rFonts w:ascii="Times New Roman" w:hAnsi="Times New Roman"/>
          <w:sz w:val="20"/>
        </w:rPr>
      </w:pPr>
      <w:r>
        <w:rPr>
          <w:rFonts w:ascii="Times New Roman" w:hAnsi="Times New Roman"/>
          <w:sz w:val="20"/>
        </w:rPr>
        <w:t xml:space="preserve">In administering our equity program, we consider both our burn rate and our overhang. We define burn rate as the number of equity awards granted in the year, net of cancellations, divided by the sum of the undiluted weighted-average shares of our common stock outstanding during the year plus the number of options and restricted stock units that have been granted and are outstanding. The burn rate measures the potential dilutive effect of our annual equity grants. We granted 3,015,904 restricted stock units in 2023 under our 2021 Incentive Award Plan and, following the closing of the Velodyne merger, the Velodyne Plan (together, the Active Plans). We did not grant any other equity awards in 2023. In February 2023, we assumed restricted stock units and restricted stock awards covering 2,523,409 shares of our common stock in the Velodyne merger, which we do not include as being granted by us in 2023 when calculating burn rate. During 2023, options to purchase 87,770 shares and 793,135 restricted stock units were forfeited or canceled under our equity plans in 2023. As of December 31, 2023, the number of weighted-average shares outstanding was 37,042,081, and the total number of shares of our common stock underlying stock options and restricted stock units outstanding under our equity plans was 1,871,649 and 3,074,939, respectively. For fiscal 2023, our burn rate, calculated as described above, was 5.08%. Our three-year average burn rate, calculated as described above, from fiscal 2021 through fiscal 2023 was 4.36%. </w:t>
      </w:r>
    </w:p>
    <w:p>
      <w:pPr>
        <w:pStyle w:val="TextBody"/>
        <w:bidi w:val="0"/>
        <w:spacing w:before="240" w:after="0"/>
        <w:jc w:val="both"/>
        <w:rPr>
          <w:rFonts w:ascii="Times New Roman" w:hAnsi="Times New Roman"/>
          <w:sz w:val="20"/>
        </w:rPr>
      </w:pPr>
      <w:r>
        <w:rPr>
          <w:rFonts w:ascii="Times New Roman" w:hAnsi="Times New Roman"/>
          <w:sz w:val="20"/>
        </w:rPr>
        <w:t xml:space="preserve">We define overhang as the shares subject to equity awards outstanding, plus shares available to be granted (the available equity award shares), divided by the total shares of common stock outstanding. The overhang measures the potential dilutive effect of outstanding equity awards and available equity award shares.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details of shares available for grant as of March 31, 2024, and as of December 31, 2023, including overhang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82"/>
        <w:gridCol w:w="379"/>
        <w:gridCol w:w="60"/>
        <w:gridCol w:w="1100"/>
        <w:gridCol w:w="275"/>
        <w:gridCol w:w="334"/>
        <w:gridCol w:w="73"/>
        <w:gridCol w:w="1424"/>
        <w:gridCol w:w="278"/>
      </w:tblGrid>
      <w:tr>
        <w:trPr/>
        <w:tc>
          <w:tcPr>
            <w:tcW w:w="6282"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bottom w:val="single" w:sz="2" w:space="0" w:color="000000"/>
            </w:tcBorders>
            <w:tcMar>
              <w:bottom w:w="28" w:type="dxa"/>
            </w:tcMar>
            <w:vAlign w:val="bottom"/>
          </w:tcPr>
          <w:p>
            <w:pPr>
              <w:pStyle w:val="TableContents"/>
              <w:bidi w:val="0"/>
              <w:spacing w:before="0" w:after="283"/>
              <w:jc w:val="left"/>
              <w:rPr/>
            </w:pPr>
            <w:r>
              <w:rPr/>
              <w:t>  </w:t>
            </w:r>
          </w:p>
        </w:tc>
        <w:tc>
          <w:tcPr>
            <w:tcW w:w="379"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March 31,</w:t>
              <w:br/>
              <w:t>2024</w:t>
            </w:r>
          </w:p>
        </w:tc>
        <w:tc>
          <w:tcPr>
            <w:tcW w:w="275" w:type="dxa"/>
            <w:tcBorders>
              <w:bottom w:val="single" w:sz="2" w:space="0" w:color="000000"/>
            </w:tcBorders>
            <w:tcMar>
              <w:bottom w:w="28" w:type="dxa"/>
            </w:tcMar>
            <w:vAlign w:val="bottom"/>
          </w:tcPr>
          <w:p>
            <w:pPr>
              <w:pStyle w:val="TableContents"/>
              <w:bidi w:val="0"/>
              <w:spacing w:before="0" w:after="283"/>
              <w:jc w:val="left"/>
              <w:rPr/>
            </w:pPr>
            <w:r>
              <w:rPr/>
              <w:t> </w:t>
            </w:r>
          </w:p>
        </w:tc>
        <w:tc>
          <w:tcPr>
            <w:tcW w:w="334"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December 31,</w:t>
              <w:br/>
              <w:t>2023</w:t>
            </w:r>
          </w:p>
        </w:tc>
        <w:tc>
          <w:tcPr>
            <w:tcW w:w="278"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Ouster, Inc. 2021 Incentive Award Plan</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1,769,051</w:t>
            </w:r>
          </w:p>
        </w:tc>
        <w:tc>
          <w:tcPr>
            <w:tcW w:w="27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102,338</w:t>
            </w:r>
          </w:p>
        </w:tc>
        <w:tc>
          <w:tcPr>
            <w:tcW w:w="278" w:type="dxa"/>
            <w:tcBorders/>
            <w:shd w:fill="CCEEFF" w:val="clear"/>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tcPr>
          <w:p>
            <w:pPr>
              <w:pStyle w:val="TableContents"/>
              <w:bidi w:val="0"/>
              <w:spacing w:before="0" w:after="0"/>
              <w:jc w:val="left"/>
              <w:rPr>
                <w:rFonts w:ascii="Times New Roman" w:hAnsi="Times New Roman"/>
                <w:sz w:val="16"/>
              </w:rPr>
            </w:pPr>
            <w:r>
              <w:rPr>
                <w:rFonts w:ascii="Times New Roman" w:hAnsi="Times New Roman"/>
                <w:sz w:val="16"/>
              </w:rPr>
              <w:t>Velodyne Plan</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1,736,349</w:t>
            </w:r>
          </w:p>
        </w:tc>
        <w:tc>
          <w:tcPr>
            <w:tcW w:w="27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1,077,184</w:t>
            </w:r>
          </w:p>
        </w:tc>
        <w:tc>
          <w:tcPr>
            <w:tcW w:w="278" w:type="dxa"/>
            <w:tcBorders/>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Shares Available to Grant</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3,505,400</w:t>
            </w:r>
          </w:p>
        </w:tc>
        <w:tc>
          <w:tcPr>
            <w:tcW w:w="27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1,179,522</w:t>
            </w:r>
          </w:p>
        </w:tc>
        <w:tc>
          <w:tcPr>
            <w:tcW w:w="278" w:type="dxa"/>
            <w:tcBorders/>
            <w:shd w:fill="CCEEFF" w:val="clear"/>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tcPr>
          <w:p>
            <w:pPr>
              <w:pStyle w:val="TableContents"/>
              <w:bidi w:val="0"/>
              <w:spacing w:before="0" w:after="0"/>
              <w:jc w:val="left"/>
              <w:rPr>
                <w:rFonts w:ascii="Times New Roman" w:hAnsi="Times New Roman"/>
                <w:sz w:val="16"/>
              </w:rPr>
            </w:pPr>
            <w:r>
              <w:rPr>
                <w:rFonts w:ascii="Times New Roman" w:hAnsi="Times New Roman"/>
                <w:sz w:val="16"/>
              </w:rPr>
              <w:t>Options, RSUs and restricted stock awards outstanding under all plans</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5,163,293</w:t>
            </w:r>
          </w:p>
        </w:tc>
        <w:tc>
          <w:tcPr>
            <w:tcW w:w="27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5,323,507</w:t>
            </w:r>
          </w:p>
        </w:tc>
        <w:tc>
          <w:tcPr>
            <w:tcW w:w="278" w:type="dxa"/>
            <w:tcBorders/>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overhang</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8,668,693</w:t>
            </w:r>
          </w:p>
        </w:tc>
        <w:tc>
          <w:tcPr>
            <w:tcW w:w="27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24" w:type="dxa"/>
            <w:tcBorders/>
            <w:shd w:fill="CCEEFF" w:val="clear"/>
            <w:vAlign w:val="bottom"/>
          </w:tcPr>
          <w:p>
            <w:pPr>
              <w:pStyle w:val="TableContents"/>
              <w:bidi w:val="0"/>
              <w:spacing w:before="0" w:after="283"/>
              <w:jc w:val="right"/>
              <w:rPr/>
            </w:pPr>
            <w:r>
              <w:rPr/>
              <w:t>6,503,029</w:t>
            </w:r>
          </w:p>
        </w:tc>
        <w:tc>
          <w:tcPr>
            <w:tcW w:w="278" w:type="dxa"/>
            <w:tcBorders/>
            <w:shd w:fill="CCEEFF" w:val="clear"/>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tcPr>
          <w:p>
            <w:pPr>
              <w:pStyle w:val="TableContents"/>
              <w:bidi w:val="0"/>
              <w:spacing w:before="0" w:after="0"/>
              <w:jc w:val="left"/>
              <w:rPr>
                <w:rFonts w:ascii="Times New Roman" w:hAnsi="Times New Roman"/>
                <w:sz w:val="16"/>
              </w:rPr>
            </w:pPr>
            <w:r>
              <w:rPr>
                <w:rFonts w:ascii="Times New Roman" w:hAnsi="Times New Roman"/>
                <w:sz w:val="16"/>
              </w:rPr>
              <w:t>Shares outstanding</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44,978,704</w:t>
            </w:r>
          </w:p>
        </w:tc>
        <w:tc>
          <w:tcPr>
            <w:tcW w:w="27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43,257,863</w:t>
            </w:r>
          </w:p>
        </w:tc>
        <w:tc>
          <w:tcPr>
            <w:tcW w:w="278" w:type="dxa"/>
            <w:tcBorders/>
            <w:vAlign w:val="bottom"/>
          </w:tcPr>
          <w:p>
            <w:pPr>
              <w:pStyle w:val="TableContents"/>
              <w:bidi w:val="0"/>
              <w:spacing w:before="0" w:after="283"/>
              <w:jc w:val="left"/>
              <w:rPr/>
            </w:pPr>
            <w:r>
              <w:rPr/>
              <w:t> </w:t>
            </w:r>
          </w:p>
        </w:tc>
      </w:tr>
      <w:tr>
        <w:trPr>
          <w:trHeight w:val="60" w:hRule="atLeast"/>
        </w:trPr>
        <w:tc>
          <w:tcPr>
            <w:tcW w:w="6282" w:type="dxa"/>
            <w:tcBorders/>
            <w:vAlign w:val="center"/>
          </w:tcPr>
          <w:p>
            <w:pPr>
              <w:pStyle w:val="TableContents"/>
              <w:bidi w:val="0"/>
              <w:spacing w:before="0" w:after="283"/>
              <w:jc w:val="left"/>
              <w:rPr>
                <w:sz w:val="4"/>
                <w:szCs w:val="4"/>
              </w:rPr>
            </w:pPr>
            <w:r>
              <w:rPr>
                <w:sz w:val="4"/>
                <w:szCs w:val="4"/>
              </w:rPr>
            </w:r>
          </w:p>
        </w:tc>
        <w:tc>
          <w:tcPr>
            <w:tcW w:w="1814" w:type="dxa"/>
            <w:gridSpan w:val="4"/>
            <w:tcBorders/>
            <w:vAlign w:val="center"/>
          </w:tcPr>
          <w:p>
            <w:pPr>
              <w:pStyle w:val="TableContents"/>
              <w:bidi w:val="0"/>
              <w:spacing w:before="0" w:after="283"/>
              <w:jc w:val="left"/>
              <w:rPr>
                <w:sz w:val="4"/>
                <w:szCs w:val="4"/>
              </w:rPr>
            </w:pPr>
            <w:r>
              <w:rPr>
                <w:sz w:val="4"/>
                <w:szCs w:val="4"/>
              </w:rPr>
            </w:r>
          </w:p>
        </w:tc>
        <w:tc>
          <w:tcPr>
            <w:tcW w:w="2109" w:type="dxa"/>
            <w:gridSpan w:val="4"/>
            <w:tcBorders/>
            <w:vAlign w:val="center"/>
          </w:tcPr>
          <w:p>
            <w:pPr>
              <w:pStyle w:val="TableContents"/>
              <w:bidi w:val="0"/>
              <w:spacing w:before="0" w:after="283"/>
              <w:jc w:val="left"/>
              <w:rPr>
                <w:sz w:val="4"/>
                <w:szCs w:val="4"/>
              </w:rPr>
            </w:pPr>
            <w:r>
              <w:rPr>
                <w:sz w:val="4"/>
                <w:szCs w:val="4"/>
              </w:rPr>
            </w:r>
          </w:p>
        </w:tc>
      </w:tr>
      <w:tr>
        <w:trPr/>
        <w:tc>
          <w:tcPr>
            <w:tcW w:w="6282" w:type="dxa"/>
            <w:tcBorders>
              <w:bottom w:val="single" w:sz="2" w:space="0" w:color="000000"/>
            </w:tcBorders>
            <w:shd w:fill="CCEEFF" w:val="clear"/>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Total overhang percentage</w:t>
            </w:r>
          </w:p>
        </w:tc>
        <w:tc>
          <w:tcPr>
            <w:tcW w:w="37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1100" w:type="dxa"/>
            <w:tcBorders>
              <w:bottom w:val="single" w:sz="2" w:space="0" w:color="000000"/>
            </w:tcBorders>
            <w:shd w:fill="CCEEFF" w:val="clear"/>
            <w:tcMar>
              <w:bottom w:w="60" w:type="dxa"/>
            </w:tcMar>
            <w:vAlign w:val="bottom"/>
          </w:tcPr>
          <w:p>
            <w:pPr>
              <w:pStyle w:val="TableContents"/>
              <w:bidi w:val="0"/>
              <w:spacing w:before="0" w:after="283"/>
              <w:jc w:val="right"/>
              <w:rPr/>
            </w:pPr>
            <w:r>
              <w:rPr/>
              <w:t>19.3</w:t>
            </w:r>
          </w:p>
        </w:tc>
        <w:tc>
          <w:tcPr>
            <w:tcW w:w="275"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33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3"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1424" w:type="dxa"/>
            <w:tcBorders>
              <w:bottom w:val="single" w:sz="2" w:space="0" w:color="000000"/>
            </w:tcBorders>
            <w:shd w:fill="CCEEFF" w:val="clear"/>
            <w:tcMar>
              <w:bottom w:w="60" w:type="dxa"/>
            </w:tcMar>
            <w:vAlign w:val="bottom"/>
          </w:tcPr>
          <w:p>
            <w:pPr>
              <w:pStyle w:val="TableContents"/>
              <w:bidi w:val="0"/>
              <w:spacing w:before="0" w:after="283"/>
              <w:jc w:val="right"/>
              <w:rPr/>
            </w:pPr>
            <w:r>
              <w:rPr/>
              <w:t>15.0</w:t>
            </w:r>
          </w:p>
        </w:tc>
        <w:tc>
          <w:tcPr>
            <w:tcW w:w="278"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believe that our burn rate and equity overhang are reasonable in relation to companies in our industry and reflect a judicious use of equity for compensation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w:t>
      </w:r>
    </w:p>
    <w:p>
      <w:pPr>
        <w:pStyle w:val="TextBody"/>
        <w:bidi w:val="0"/>
        <w:spacing w:before="120" w:after="0"/>
        <w:jc w:val="left"/>
        <w:rPr>
          <w:rFonts w:ascii="Times New Roman" w:hAnsi="Times New Roman"/>
          <w:b/>
          <w:sz w:val="20"/>
        </w:rPr>
      </w:pPr>
      <w:r>
        <w:rPr>
          <w:rFonts w:ascii="Times New Roman" w:hAnsi="Times New Roman"/>
          <w:b/>
          <w:sz w:val="20"/>
        </w:rPr>
        <w:t xml:space="preserve">Summary of the Velodyne Plan </w:t>
      </w:r>
    </w:p>
    <w:p>
      <w:pPr>
        <w:pStyle w:val="TextBody"/>
        <w:bidi w:val="0"/>
        <w:spacing w:before="120" w:after="0"/>
        <w:jc w:val="both"/>
        <w:rPr>
          <w:rFonts w:ascii="Times New Roman" w:hAnsi="Times New Roman"/>
          <w:sz w:val="20"/>
        </w:rPr>
      </w:pPr>
      <w:r>
        <w:rPr>
          <w:rFonts w:ascii="Times New Roman" w:hAnsi="Times New Roman"/>
          <w:sz w:val="20"/>
        </w:rPr>
        <w:t xml:space="preserve">This section summarizes certain principal features of the Velodyne Plan. The summary is qualified in its entirety by reference to the complete text of the Velodyne Plan, which is attached to this proxy statement as Annex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both"/>
        <w:rPr>
          <w:rFonts w:ascii="Times New Roman" w:hAnsi="Times New Roman"/>
          <w:sz w:val="20"/>
        </w:rPr>
      </w:pPr>
      <w:r>
        <w:rPr>
          <w:rFonts w:ascii="Times New Roman" w:hAnsi="Times New Roman"/>
          <w:sz w:val="20"/>
        </w:rPr>
        <w:t xml:space="preserve">Prior to the stockholder approval being sought in this proposal, current and prospective employees, non-employee directors, consultants, and advisors of the Company and its subsidiaries who did not provide services to the Company prior to the Veloydne Merger are eligible to be selected to participate in the Velodyne Plan provided that incentive stock options may only be granted to employees. If this proposal is approved by Company stockholders as provided below, then all current and prospective employees, non-employee directors, consultants and advisors of the Company and its subsidiaries will be eligible to be selected to participate in the Velodyne Plan. Assuming stockholder approval of this proposal, the persons who will be eligible to participate in the Velodyne Plan include all members of the Board, currently comprised of 7 non-employee directors, approximately 295 employees (including 3 NEOs) of the Company and its subsidiaries, as well as approximately 20 consultants of the Company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both"/>
        <w:rPr>
          <w:rFonts w:ascii="Times New Roman" w:hAnsi="Times New Roman"/>
          <w:sz w:val="20"/>
        </w:rPr>
      </w:pPr>
      <w:r>
        <w:rPr>
          <w:rFonts w:ascii="Times New Roman" w:hAnsi="Times New Roman"/>
          <w:sz w:val="20"/>
        </w:rPr>
        <w:t xml:space="preserve">The Board, the Compensation Committee or any other committee to which the Board has delegated authority administers the Velodyne Plan. The administrator has complete discretion to make all decisions relating to the Velodyne Plan and outstanding awards, including, among others, to select service providers who will receive awards under the Velodyne Plan and the type and number of awards and the terms of the awards, to make, amend and rescind rules relating to the Velodyne Plan and the awards granted under the Velodyne Plan, and to make all other decisions relating to the operation of the Velodyne Plan and awards granted under the Velodyne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Reserve </w:t>
      </w:r>
    </w:p>
    <w:p>
      <w:pPr>
        <w:pStyle w:val="TextBody"/>
        <w:bidi w:val="0"/>
        <w:spacing w:before="120" w:after="0"/>
        <w:jc w:val="both"/>
        <w:rPr>
          <w:rFonts w:ascii="Times New Roman" w:hAnsi="Times New Roman"/>
          <w:sz w:val="20"/>
        </w:rPr>
      </w:pPr>
      <w:r>
        <w:rPr>
          <w:rFonts w:ascii="Times New Roman" w:hAnsi="Times New Roman"/>
          <w:sz w:val="20"/>
        </w:rPr>
        <w:t xml:space="preserve">The aggregate number of shares that may be issued under the Velodyne Plan, after the adjustments described above, cannot exceed 3,363,709. The number of shares reserved for issuance under the Velodyne Plan increases automatically on the first business day of each of our fiscal years, with the next increase scheduled for January 1, 2025 and ending on and including January 1, 2030 by a number equal to the lesser of (i) 820,400 or (ii) a smaller number of shares of the Companys common stock determined by the Board. Shares of the Companys common stock subject to or issued pursuant to awards that are forfeited, cancelled or expire before being exercised or settled shall again become available for issuance under the Velodyne Plan as well as shares issued pursuant to an award but later reacquired by the Company and any shares applied to pay the exercise price of any options or satisfy tax withholding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both"/>
        <w:rPr>
          <w:rFonts w:ascii="Times New Roman" w:hAnsi="Times New Roman"/>
          <w:sz w:val="20"/>
        </w:rPr>
      </w:pPr>
      <w:r>
        <w:rPr>
          <w:rFonts w:ascii="Times New Roman" w:hAnsi="Times New Roman"/>
          <w:sz w:val="20"/>
        </w:rPr>
        <w:t xml:space="preserve">The Velodyne Plan provides for the grant of stock options, including incentive stock options, nonqualified stock options, stock appreciation rights (SARs), restricted stock and restricted stock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Stock Options and SARs</w:t>
            </w:r>
            <w:r>
              <w:rPr>
                <w:rFonts w:ascii="Times New Roman" w:hAnsi="Times New Roman"/>
                <w:sz w:val="20"/>
              </w:rPr>
              <w:t xml:space="preserve">. Stock options provide for the option to purchase shares of the Companys common stock in the future at an exercise price set on the grant date, which may not be less than 100% of the fair market value of the Companys common stock on the grant date. The exercise price of options granted under the Velodyne Plan may be paid in cash or, at the discretion of the plan administrator, (i) with shares of the Companys common stock already owned by the optionee, (ii) by an immediate sale of option shares through a broker approved by the Company, (iii) through a net-exercise procedure or (iv) any other method permitted by applicable law. SARs provide for the opportunity to receive a payment based upon the increase in value of the Companys common stock from the date of grant through the date of settlement. The payment may be made in cash, shares of the Companys common stock or a combination of the two and is equal to the fair market value of the Companys common stock on the settlement date over the base price, which is determined at the grant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Restricted Stock and Restricted Stock Units.</w:t>
            </w:r>
            <w:r>
              <w:rPr>
                <w:rFonts w:ascii="Times New Roman" w:hAnsi="Times New Roman"/>
                <w:sz w:val="20"/>
              </w:rPr>
              <w:t xml:space="preserve"> Restricted shares and restricted stock units may be awarded under the Velodyne Plan in return for any lawful consideration, and participants who receive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restricted shares or restricted stock units generally are not required to pay cash for their awards. In general, these awards will be subject to vesting. Vesting may be based on length of service or upon satisfaction of other conditions determined by the plan administrator. Settlement of vested restricted stock units may be made in the form of cash, shares of common stock or a combination of the two.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both"/>
        <w:rPr>
          <w:rFonts w:ascii="Times New Roman" w:hAnsi="Times New Roman"/>
          <w:sz w:val="20"/>
        </w:rPr>
      </w:pPr>
      <w:r>
        <w:rPr>
          <w:rFonts w:ascii="Times New Roman" w:hAnsi="Times New Roman"/>
          <w:sz w:val="20"/>
        </w:rPr>
        <w:t xml:space="preserve">In the event the Company is party to a merger, consolidation, or certain change in control transactions, the treatment of outstanding awards granted under the Velodyne Plan, and all shares acquired under the Velodyne Plan, will be subject to the terms of the definitive transaction agreement (or, if there is no such agreement, as determined by the plan administrator). Unless an award agreement provides otherwise, such treatment may include any of the following with respect to each outstanding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continuation, assumption, or substitution of an award by a surviving entity or its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an option or stock appreciation right, the cancellation of an award without payment of any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cancellation of the vested portion of an award (and any portion that becomes vested as of the effective time of the transaction) in exchange for a payment equal to the excess, if any, of the value that the holder of each share of the Companys common stock receives in the transaction over (if applicable) the exercise price otherwise payable in connection with the award;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assignment of any reacquisition or repurchase rights held by the Company in respect of an award of restricted shares to the surviving entity or its parent (with proportionate adjustments made to the price per share to be paid upon exercise of such rights).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award held by a participant who remains a service provider with the Company as of the effective time of a merger or change in control will become fully vested and, if applicable, exercisable immediately prior to the effective time of the transaction, unless the applicable award agreement provides otherwise or the award is continued, assumed, or substituted (as provided above). The plan administrator is not required to treat all awards, or portions thereof, in the same manner. </w:t>
      </w:r>
    </w:p>
    <w:p>
      <w:pPr>
        <w:pStyle w:val="TextBody"/>
        <w:bidi w:val="0"/>
        <w:spacing w:before="240" w:after="0"/>
        <w:jc w:val="both"/>
        <w:rPr>
          <w:rFonts w:ascii="Times New Roman" w:hAnsi="Times New Roman"/>
          <w:sz w:val="20"/>
        </w:rPr>
      </w:pPr>
      <w:r>
        <w:rPr>
          <w:rFonts w:ascii="Times New Roman" w:hAnsi="Times New Roman"/>
          <w:sz w:val="20"/>
        </w:rPr>
        <w:t xml:space="preserve">The vesting of an outstanding award may be accelerated by the plan administrator upon the occurrence of a change in control, whether or not the award is to be assumed or replaced in the transaction, or in connection with a termination of service following a change in control transaction. </w:t>
      </w:r>
    </w:p>
    <w:p>
      <w:pPr>
        <w:pStyle w:val="TextBody"/>
        <w:bidi w:val="0"/>
        <w:spacing w:before="240" w:after="0"/>
        <w:jc w:val="both"/>
        <w:rPr>
          <w:rFonts w:ascii="Times New Roman" w:hAnsi="Times New Roman"/>
          <w:sz w:val="20"/>
        </w:rPr>
      </w:pPr>
      <w:r>
        <w:rPr>
          <w:rFonts w:ascii="Times New Roman" w:hAnsi="Times New Roman"/>
          <w:sz w:val="20"/>
        </w:rPr>
        <w:t xml:space="preserve">A change in control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person acquiring beneficial ownership of more than 50% of the Companys total voting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sale or other disposition of all or substantially all of the Companys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merger or consolidation of the Company after which the Companys voting securities represent 50% or less of the total voting power of the surviving or acquiring entity;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members of the Board cease to constitute a majority of the members of the Board over a period of 12 months, excluding any new members appointed or elected by the then incumbent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in Capitalization </w:t>
      </w:r>
    </w:p>
    <w:p>
      <w:pPr>
        <w:pStyle w:val="TextBody"/>
        <w:bidi w:val="0"/>
        <w:spacing w:before="120" w:after="0"/>
        <w:jc w:val="both"/>
        <w:rPr>
          <w:rFonts w:ascii="Times New Roman" w:hAnsi="Times New Roman"/>
          <w:sz w:val="20"/>
        </w:rPr>
      </w:pPr>
      <w:r>
        <w:rPr>
          <w:rFonts w:ascii="Times New Roman" w:hAnsi="Times New Roman"/>
          <w:sz w:val="20"/>
        </w:rPr>
        <w:t xml:space="preserve">In the event of certain changes in the Companys capital structure without receipt of consideration, such as a stock split, reverse stock split, or dividend paid in common stock, proportionate adjustments will automatically be made to (i) the maximum number and kind of shares available for issuance under the Velodyne Plan, including the maximum number and kind of shares that may be issued upon the exercise of incentive stock options and (ii) the maximum number and kind of shares covered by, and exercise price, base price, or purchase price, if any, applicable to each outstanding stock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Plan Amendment and Termination </w:t>
      </w:r>
    </w:p>
    <w:p>
      <w:pPr>
        <w:pStyle w:val="TextBody"/>
        <w:bidi w:val="0"/>
        <w:spacing w:before="120" w:after="0"/>
        <w:jc w:val="both"/>
        <w:rPr>
          <w:rFonts w:ascii="Times New Roman" w:hAnsi="Times New Roman"/>
          <w:sz w:val="20"/>
        </w:rPr>
      </w:pPr>
      <w:r>
        <w:rPr>
          <w:rFonts w:ascii="Times New Roman" w:hAnsi="Times New Roman"/>
          <w:sz w:val="20"/>
        </w:rPr>
        <w:t xml:space="preserve">The Board may amend or terminate the Velodyne Plan at any time; however, no amendment, other than an amendment that increases the number of shares available under the Velodyne Plan, may materially and adversely affect an award outstanding under the Velodyne Plan without the consent of the affected participant and stockholder approval will be obtained for any amendment to the extent necessary to comply with applicable laws. The Velodyne Plan will remain in effect until September 13, 2030, unless earlier terminated by the Board. No awards may be granted under the Velodyne Plan after its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Modifications, Repricings, Extensions and Assumptions </w:t>
      </w:r>
    </w:p>
    <w:p>
      <w:pPr>
        <w:pStyle w:val="TextBody"/>
        <w:bidi w:val="0"/>
        <w:spacing w:before="120" w:after="0"/>
        <w:jc w:val="both"/>
        <w:rPr>
          <w:rFonts w:ascii="Times New Roman" w:hAnsi="Times New Roman"/>
          <w:sz w:val="20"/>
        </w:rPr>
      </w:pPr>
      <w:r>
        <w:rPr>
          <w:rFonts w:ascii="Times New Roman" w:hAnsi="Times New Roman"/>
          <w:sz w:val="20"/>
        </w:rPr>
        <w:t xml:space="preserve">The Board may modify, reprice, extend or assume outstanding options and may accept the cancellation of options in exchange for a new option, different number of shares and at the same or different exercise price or another type of award.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This discussion regarding federal tax consequences is intended for the general information of our stockholders, not Velodyne Plan participants. Alternative minimum tax and state and local income taxes are not discussed and may vary depending on individual circumstances and from locality to locality. </w:t>
      </w:r>
    </w:p>
    <w:p>
      <w:pPr>
        <w:pStyle w:val="TextBody"/>
        <w:bidi w:val="0"/>
        <w:spacing w:before="240" w:after="0"/>
        <w:jc w:val="both"/>
        <w:rPr>
          <w:rFonts w:ascii="Times New Roman" w:hAnsi="Times New Roman"/>
          <w:sz w:val="20"/>
        </w:rPr>
      </w:pPr>
      <w:r>
        <w:rPr>
          <w:rFonts w:ascii="Times New Roman" w:hAnsi="Times New Roman"/>
          <w:sz w:val="20"/>
        </w:rPr>
        <w:t xml:space="preserve">A participant granted nonqualified stock options having an exercise price per share that equals at least fair market value on the date of grant will not recognize taxable income at the time of grant. The Company is generally entitled to deduct and the optionee recognizes taxable income in an amount equal to the difference between the option exercise price and the fair market value of the shares at the time of exercise. A participant granted incentive stock options will not recognize taxable income upon grant. Additionally, if applicable holding period requirements are met, the participant will not recognize ordinary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the Company will not be entitled to any deduction. If the holding period requirements are not met, the incentive stock option will be treated as one which does not meet the requirements of the Code for incentive stock options and the tax consequences described for nonqualified stock options will apply. </w:t>
      </w:r>
    </w:p>
    <w:p>
      <w:pPr>
        <w:pStyle w:val="TextBody"/>
        <w:bidi w:val="0"/>
        <w:spacing w:before="240" w:after="0"/>
        <w:jc w:val="both"/>
        <w:rPr>
          <w:rFonts w:ascii="Times New Roman" w:hAnsi="Times New Roman"/>
          <w:sz w:val="20"/>
        </w:rPr>
      </w:pPr>
      <w:r>
        <w:rPr>
          <w:rFonts w:ascii="Times New Roman" w:hAnsi="Times New Roman"/>
          <w:sz w:val="20"/>
        </w:rPr>
        <w:t xml:space="preserve">The current federal income tax consequences of other awards authorized under the Velodyne Plan generally follow certain basic patterns: SARs are taxed and deductible in substantially the same manner as nonqualified stock options;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restricted stock units, dividend equivalents and other types of awards are generally subject to tax at the time of payment or share settlement. Compensation otherwise effectively deferred is taxed when paid. In each of the foregoing cases, the Company will generally have a corresponding deduction at the time the participant recognizes income, subject to Section 162(m) of the Code with respect to our current and former NEOs.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both"/>
        <w:rPr>
          <w:rFonts w:ascii="Times New Roman" w:hAnsi="Times New Roman"/>
          <w:sz w:val="20"/>
        </w:rPr>
      </w:pPr>
      <w:r>
        <w:rPr>
          <w:rFonts w:ascii="Times New Roman" w:hAnsi="Times New Roman"/>
          <w:sz w:val="20"/>
        </w:rPr>
        <w:t xml:space="preserve">As of March 31, 2024, 855,755 restricted stock units and 458,567 shares of restricted stock are outstanding under the Velodyne Plan. All future awards under the Velodyne Plan are subject to the discretion of the administrator, and therefore it is not possible to determine the benefits that will be received in the future by other participants in the Velodyne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Awards Granted Under the Velodyne Plan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the number of shares of our common stock underlying options, restricted stock units and restricted stock units granted under the Velodyne Plan between the closing of the Velodyne merger on February 10, 2023 and March 31, 2024 to certain individuals and certain groups of individuals.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28"/>
        <w:gridCol w:w="439"/>
        <w:gridCol w:w="279"/>
        <w:gridCol w:w="279"/>
        <w:gridCol w:w="280"/>
        <w:gridCol w:w="439"/>
        <w:gridCol w:w="68"/>
        <w:gridCol w:w="918"/>
        <w:gridCol w:w="70"/>
        <w:gridCol w:w="439"/>
        <w:gridCol w:w="79"/>
        <w:gridCol w:w="902"/>
        <w:gridCol w:w="85"/>
      </w:tblGrid>
      <w:tr>
        <w:trPr/>
        <w:tc>
          <w:tcPr>
            <w:tcW w:w="5928"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r>
      <w:tr>
        <w:trPr/>
        <w:tc>
          <w:tcPr>
            <w:tcW w:w="5928" w:type="dxa"/>
            <w:tcBorders>
              <w:bottom w:val="single" w:sz="2" w:space="0" w:color="000000"/>
            </w:tcBorders>
            <w:tcMar>
              <w:bottom w:w="60" w:type="dxa"/>
            </w:tcMar>
            <w:vAlign w:val="bottom"/>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838" w:type="dxa"/>
            <w:gridSpan w:val="3"/>
            <w:tcBorders>
              <w:bottom w:val="single" w:sz="2" w:space="0" w:color="000000"/>
            </w:tcBorders>
            <w:tcMar>
              <w:bottom w:w="60" w:type="dxa"/>
            </w:tcMar>
            <w:vAlign w:val="bottom"/>
          </w:tcPr>
          <w:p>
            <w:pPr>
              <w:pStyle w:val="TableContents"/>
              <w:bidi w:val="0"/>
              <w:spacing w:before="0" w:after="283"/>
              <w:jc w:val="center"/>
              <w:rPr>
                <w:b/>
              </w:rPr>
            </w:pPr>
            <w:r>
              <w:rPr>
                <w:b/>
              </w:rPr>
              <w:t>Stock</w:t>
              <w:br/>
              <w:t>Options</w:t>
              <w:br/>
              <w:t>(#)</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1056" w:type="dxa"/>
            <w:gridSpan w:val="3"/>
            <w:tcBorders>
              <w:bottom w:val="single" w:sz="2" w:space="0" w:color="000000"/>
            </w:tcBorders>
            <w:tcMar>
              <w:bottom w:w="60" w:type="dxa"/>
            </w:tcMar>
            <w:vAlign w:val="bottom"/>
          </w:tcPr>
          <w:p>
            <w:pPr>
              <w:pStyle w:val="TableContents"/>
              <w:bidi w:val="0"/>
              <w:spacing w:before="0" w:after="283"/>
              <w:jc w:val="center"/>
              <w:rPr>
                <w:b/>
              </w:rPr>
            </w:pPr>
            <w:r>
              <w:rPr>
                <w:b/>
              </w:rPr>
              <w:t>Restricted</w:t>
              <w:br/>
              <w:t>Stock</w:t>
              <w:br/>
              <w:t>Units (#)</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1066" w:type="dxa"/>
            <w:gridSpan w:val="3"/>
            <w:tcBorders>
              <w:bottom w:val="single" w:sz="2" w:space="0" w:color="000000"/>
            </w:tcBorders>
            <w:tcMar>
              <w:bottom w:w="60" w:type="dxa"/>
            </w:tcMar>
            <w:vAlign w:val="bottom"/>
          </w:tcPr>
          <w:p>
            <w:pPr>
              <w:pStyle w:val="TableContents"/>
              <w:bidi w:val="0"/>
              <w:spacing w:before="0" w:after="283"/>
              <w:jc w:val="center"/>
              <w:rPr>
                <w:b/>
              </w:rPr>
            </w:pPr>
            <w:r>
              <w:rPr>
                <w:b/>
              </w:rPr>
              <w:t>Restricted</w:t>
              <w:br/>
              <w:t>Stock</w:t>
              <w:br/>
              <w:t>Awards</w:t>
              <w:br/>
              <w:t>(#)</w:t>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Angus Pacala</w:t>
            </w:r>
          </w:p>
        </w:tc>
        <w:tc>
          <w:tcPr>
            <w:tcW w:w="439" w:type="dxa"/>
            <w:tcBorders/>
            <w:shd w:fill="CFF0FC" w:val="clear"/>
            <w:vAlign w:val="bottom"/>
          </w:tcPr>
          <w:p>
            <w:pPr>
              <w:pStyle w:val="TableContents"/>
              <w:bidi w:val="0"/>
              <w:spacing w:before="0" w:after="283"/>
              <w:jc w:val="left"/>
              <w:rPr/>
            </w:pPr>
            <w:r>
              <w:rPr/>
              <w:t>  </w:t>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8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68" w:type="dxa"/>
            <w:tcBorders/>
            <w:shd w:fill="CFF0FC" w:val="clear"/>
            <w:vAlign w:val="bottom"/>
          </w:tcPr>
          <w:p>
            <w:pPr>
              <w:pStyle w:val="TableContents"/>
              <w:bidi w:val="0"/>
              <w:spacing w:before="0" w:after="283"/>
              <w:jc w:val="left"/>
              <w:rPr>
                <w:sz w:val="4"/>
                <w:szCs w:val="4"/>
              </w:rPr>
            </w:pPr>
            <w:r>
              <w:rPr>
                <w:sz w:val="4"/>
                <w:szCs w:val="4"/>
              </w:rPr>
            </w:r>
          </w:p>
        </w:tc>
        <w:tc>
          <w:tcPr>
            <w:tcW w:w="918" w:type="dxa"/>
            <w:tcBorders/>
            <w:shd w:fill="CFF0FC" w:val="clear"/>
            <w:vAlign w:val="bottom"/>
          </w:tcPr>
          <w:p>
            <w:pPr>
              <w:pStyle w:val="TableContents"/>
              <w:bidi w:val="0"/>
              <w:spacing w:before="0" w:after="283"/>
              <w:jc w:val="left"/>
              <w:rPr>
                <w:sz w:val="4"/>
                <w:szCs w:val="4"/>
              </w:rPr>
            </w:pPr>
            <w:r>
              <w:rPr>
                <w:sz w:val="4"/>
                <w:szCs w:val="4"/>
              </w:rPr>
            </w:r>
          </w:p>
        </w:tc>
        <w:tc>
          <w:tcPr>
            <w:tcW w:w="7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79" w:type="dxa"/>
            <w:tcBorders/>
            <w:shd w:fill="CFF0FC" w:val="clear"/>
            <w:vAlign w:val="bottom"/>
          </w:tcPr>
          <w:p>
            <w:pPr>
              <w:pStyle w:val="TableContents"/>
              <w:bidi w:val="0"/>
              <w:spacing w:before="0" w:after="283"/>
              <w:jc w:val="left"/>
              <w:rPr>
                <w:sz w:val="4"/>
                <w:szCs w:val="4"/>
              </w:rPr>
            </w:pPr>
            <w:r>
              <w:rPr>
                <w:sz w:val="4"/>
                <w:szCs w:val="4"/>
              </w:rPr>
            </w:r>
          </w:p>
        </w:tc>
        <w:tc>
          <w:tcPr>
            <w:tcW w:w="902" w:type="dxa"/>
            <w:tcBorders/>
            <w:shd w:fill="CFF0FC" w:val="clear"/>
            <w:vAlign w:val="bottom"/>
          </w:tcPr>
          <w:p>
            <w:pPr>
              <w:pStyle w:val="TableContents"/>
              <w:bidi w:val="0"/>
              <w:spacing w:before="0" w:after="283"/>
              <w:jc w:val="left"/>
              <w:rPr>
                <w:sz w:val="4"/>
                <w:szCs w:val="4"/>
              </w:rPr>
            </w:pPr>
            <w:r>
              <w:rPr>
                <w:sz w:val="4"/>
                <w:szCs w:val="4"/>
              </w:rPr>
            </w:r>
          </w:p>
        </w:tc>
        <w:tc>
          <w:tcPr>
            <w:tcW w:w="85"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5928" w:type="dxa"/>
            <w:tcBorders/>
          </w:tcPr>
          <w:p>
            <w:pPr>
              <w:pStyle w:val="TableContents"/>
              <w:bidi w:val="0"/>
              <w:spacing w:before="0" w:after="0"/>
              <w:jc w:val="left"/>
              <w:rPr>
                <w:rFonts w:ascii="Times New Roman" w:hAnsi="Times New Roman"/>
                <w:sz w:val="16"/>
              </w:rPr>
            </w:pPr>
            <w:r>
              <w:rPr>
                <w:rFonts w:ascii="Times New Roman" w:hAnsi="Times New Roman"/>
                <w:sz w:val="16"/>
              </w:rPr>
              <w:t>Mark Weinswig</w:t>
            </w:r>
          </w:p>
        </w:tc>
        <w:tc>
          <w:tcPr>
            <w:tcW w:w="43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112,000</w:t>
            </w:r>
          </w:p>
        </w:tc>
        <w:tc>
          <w:tcPr>
            <w:tcW w:w="7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83,087</w:t>
            </w:r>
          </w:p>
        </w:tc>
        <w:tc>
          <w:tcPr>
            <w:tcW w:w="85" w:type="dxa"/>
            <w:tcBorders/>
            <w:vAlign w:val="bottom"/>
          </w:tcPr>
          <w:p>
            <w:pPr>
              <w:pStyle w:val="TableContents"/>
              <w:bidi w:val="0"/>
              <w:spacing w:before="0" w:after="283"/>
              <w:jc w:val="left"/>
              <w:rPr/>
            </w:pPr>
            <w:r>
              <w:rPr/>
              <w:t> </w:t>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Darien Spencer</w:t>
            </w:r>
          </w:p>
        </w:tc>
        <w:tc>
          <w:tcPr>
            <w:tcW w:w="439" w:type="dxa"/>
            <w:tcBorders/>
            <w:shd w:fill="CFF0FC" w:val="clear"/>
            <w:vAlign w:val="bottom"/>
          </w:tcPr>
          <w:p>
            <w:pPr>
              <w:pStyle w:val="TableContents"/>
              <w:bidi w:val="0"/>
              <w:spacing w:before="0" w:after="283"/>
              <w:jc w:val="left"/>
              <w:rPr/>
            </w:pPr>
            <w:r>
              <w:rPr/>
              <w:t>  </w:t>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8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68" w:type="dxa"/>
            <w:tcBorders/>
            <w:shd w:fill="CFF0FC" w:val="clear"/>
            <w:vAlign w:val="bottom"/>
          </w:tcPr>
          <w:p>
            <w:pPr>
              <w:pStyle w:val="TableContents"/>
              <w:bidi w:val="0"/>
              <w:spacing w:before="0" w:after="283"/>
              <w:jc w:val="left"/>
              <w:rPr>
                <w:sz w:val="4"/>
                <w:szCs w:val="4"/>
              </w:rPr>
            </w:pPr>
            <w:r>
              <w:rPr>
                <w:sz w:val="4"/>
                <w:szCs w:val="4"/>
              </w:rPr>
            </w:r>
          </w:p>
        </w:tc>
        <w:tc>
          <w:tcPr>
            <w:tcW w:w="918" w:type="dxa"/>
            <w:tcBorders/>
            <w:shd w:fill="CFF0FC" w:val="clear"/>
            <w:vAlign w:val="bottom"/>
          </w:tcPr>
          <w:p>
            <w:pPr>
              <w:pStyle w:val="TableContents"/>
              <w:bidi w:val="0"/>
              <w:spacing w:before="0" w:after="283"/>
              <w:jc w:val="left"/>
              <w:rPr>
                <w:sz w:val="4"/>
                <w:szCs w:val="4"/>
              </w:rPr>
            </w:pPr>
            <w:r>
              <w:rPr>
                <w:sz w:val="4"/>
                <w:szCs w:val="4"/>
              </w:rPr>
            </w:r>
          </w:p>
        </w:tc>
        <w:tc>
          <w:tcPr>
            <w:tcW w:w="7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79" w:type="dxa"/>
            <w:tcBorders/>
            <w:shd w:fill="CFF0FC" w:val="clear"/>
            <w:vAlign w:val="bottom"/>
          </w:tcPr>
          <w:p>
            <w:pPr>
              <w:pStyle w:val="TableContents"/>
              <w:bidi w:val="0"/>
              <w:spacing w:before="0" w:after="283"/>
              <w:jc w:val="left"/>
              <w:rPr>
                <w:sz w:val="4"/>
                <w:szCs w:val="4"/>
              </w:rPr>
            </w:pPr>
            <w:r>
              <w:rPr>
                <w:sz w:val="4"/>
                <w:szCs w:val="4"/>
              </w:rPr>
            </w:r>
          </w:p>
        </w:tc>
        <w:tc>
          <w:tcPr>
            <w:tcW w:w="902" w:type="dxa"/>
            <w:tcBorders/>
            <w:shd w:fill="CFF0FC" w:val="clear"/>
            <w:vAlign w:val="bottom"/>
          </w:tcPr>
          <w:p>
            <w:pPr>
              <w:pStyle w:val="TableContents"/>
              <w:bidi w:val="0"/>
              <w:spacing w:before="0" w:after="283"/>
              <w:jc w:val="left"/>
              <w:rPr>
                <w:sz w:val="4"/>
                <w:szCs w:val="4"/>
              </w:rPr>
            </w:pPr>
            <w:r>
              <w:rPr>
                <w:sz w:val="4"/>
                <w:szCs w:val="4"/>
              </w:rPr>
            </w:r>
          </w:p>
        </w:tc>
        <w:tc>
          <w:tcPr>
            <w:tcW w:w="85"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5928" w:type="dxa"/>
            <w:tcBorders/>
          </w:tcPr>
          <w:p>
            <w:pPr>
              <w:pStyle w:val="TableContents"/>
              <w:bidi w:val="0"/>
              <w:spacing w:before="0" w:after="0"/>
              <w:jc w:val="left"/>
              <w:rPr>
                <w:rFonts w:ascii="Times New Roman" w:hAnsi="Times New Roman"/>
                <w:sz w:val="16"/>
              </w:rPr>
            </w:pPr>
            <w:r>
              <w:rPr>
                <w:rFonts w:ascii="Times New Roman" w:hAnsi="Times New Roman"/>
                <w:sz w:val="16"/>
              </w:rPr>
              <w:t>Anna Brunelle</w:t>
            </w:r>
          </w:p>
        </w:tc>
        <w:tc>
          <w:tcPr>
            <w:tcW w:w="43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Adam Dolinko</w:t>
            </w:r>
          </w:p>
        </w:tc>
        <w:tc>
          <w:tcPr>
            <w:tcW w:w="439" w:type="dxa"/>
            <w:tcBorders/>
            <w:shd w:fill="CFF0FC" w:val="clear"/>
            <w:vAlign w:val="bottom"/>
          </w:tcPr>
          <w:p>
            <w:pPr>
              <w:pStyle w:val="TableContents"/>
              <w:bidi w:val="0"/>
              <w:spacing w:before="0" w:after="283"/>
              <w:jc w:val="left"/>
              <w:rPr/>
            </w:pPr>
            <w:r>
              <w:rPr/>
              <w:t>  </w:t>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8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68" w:type="dxa"/>
            <w:tcBorders/>
            <w:shd w:fill="CFF0FC" w:val="clear"/>
            <w:vAlign w:val="bottom"/>
          </w:tcPr>
          <w:p>
            <w:pPr>
              <w:pStyle w:val="TableContents"/>
              <w:bidi w:val="0"/>
              <w:spacing w:before="0" w:after="283"/>
              <w:jc w:val="left"/>
              <w:rPr>
                <w:sz w:val="4"/>
                <w:szCs w:val="4"/>
              </w:rPr>
            </w:pPr>
            <w:r>
              <w:rPr>
                <w:sz w:val="4"/>
                <w:szCs w:val="4"/>
              </w:rPr>
            </w:r>
          </w:p>
        </w:tc>
        <w:tc>
          <w:tcPr>
            <w:tcW w:w="918" w:type="dxa"/>
            <w:tcBorders/>
            <w:shd w:fill="CFF0FC" w:val="clear"/>
            <w:vAlign w:val="bottom"/>
          </w:tcPr>
          <w:p>
            <w:pPr>
              <w:pStyle w:val="TableContents"/>
              <w:bidi w:val="0"/>
              <w:spacing w:before="0" w:after="283"/>
              <w:jc w:val="left"/>
              <w:rPr>
                <w:sz w:val="4"/>
                <w:szCs w:val="4"/>
              </w:rPr>
            </w:pPr>
            <w:r>
              <w:rPr>
                <w:sz w:val="4"/>
                <w:szCs w:val="4"/>
              </w:rPr>
            </w:r>
          </w:p>
        </w:tc>
        <w:tc>
          <w:tcPr>
            <w:tcW w:w="7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79" w:type="dxa"/>
            <w:tcBorders/>
            <w:shd w:fill="CFF0FC" w:val="clear"/>
            <w:vAlign w:val="bottom"/>
          </w:tcPr>
          <w:p>
            <w:pPr>
              <w:pStyle w:val="TableContents"/>
              <w:bidi w:val="0"/>
              <w:spacing w:before="0" w:after="283"/>
              <w:jc w:val="left"/>
              <w:rPr>
                <w:sz w:val="4"/>
                <w:szCs w:val="4"/>
              </w:rPr>
            </w:pPr>
            <w:r>
              <w:rPr>
                <w:sz w:val="4"/>
                <w:szCs w:val="4"/>
              </w:rPr>
            </w:r>
          </w:p>
        </w:tc>
        <w:tc>
          <w:tcPr>
            <w:tcW w:w="902" w:type="dxa"/>
            <w:tcBorders/>
            <w:shd w:fill="CFF0FC" w:val="clear"/>
            <w:vAlign w:val="bottom"/>
          </w:tcPr>
          <w:p>
            <w:pPr>
              <w:pStyle w:val="TableContents"/>
              <w:bidi w:val="0"/>
              <w:spacing w:before="0" w:after="283"/>
              <w:jc w:val="left"/>
              <w:rPr>
                <w:sz w:val="4"/>
                <w:szCs w:val="4"/>
              </w:rPr>
            </w:pPr>
            <w:r>
              <w:rPr>
                <w:sz w:val="4"/>
                <w:szCs w:val="4"/>
              </w:rPr>
            </w:r>
          </w:p>
        </w:tc>
        <w:tc>
          <w:tcPr>
            <w:tcW w:w="85"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5928" w:type="dxa"/>
            <w:tcBorders/>
          </w:tcPr>
          <w:p>
            <w:pPr>
              <w:pStyle w:val="TableContents"/>
              <w:bidi w:val="0"/>
              <w:spacing w:before="0" w:after="0"/>
              <w:jc w:val="left"/>
              <w:rPr>
                <w:rFonts w:ascii="Times New Roman" w:hAnsi="Times New Roman"/>
                <w:b/>
                <w:sz w:val="16"/>
              </w:rPr>
            </w:pPr>
            <w:r>
              <w:rPr>
                <w:rFonts w:ascii="Times New Roman" w:hAnsi="Times New Roman"/>
                <w:b/>
                <w:sz w:val="16"/>
              </w:rPr>
              <w:t>All current executive officers as a group</w:t>
            </w:r>
          </w:p>
        </w:tc>
        <w:tc>
          <w:tcPr>
            <w:tcW w:w="43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112,000</w:t>
            </w:r>
          </w:p>
        </w:tc>
        <w:tc>
          <w:tcPr>
            <w:tcW w:w="7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83,087</w:t>
            </w:r>
          </w:p>
        </w:tc>
        <w:tc>
          <w:tcPr>
            <w:tcW w:w="85" w:type="dxa"/>
            <w:tcBorders/>
            <w:vAlign w:val="bottom"/>
          </w:tcPr>
          <w:p>
            <w:pPr>
              <w:pStyle w:val="TableContents"/>
              <w:bidi w:val="0"/>
              <w:spacing w:before="0" w:after="283"/>
              <w:jc w:val="left"/>
              <w:rPr/>
            </w:pPr>
            <w:r>
              <w:rPr/>
              <w:t> </w:t>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All current non-executive officer directors as a group</w:t>
            </w:r>
          </w:p>
        </w:tc>
        <w:tc>
          <w:tcPr>
            <w:tcW w:w="439" w:type="dxa"/>
            <w:tcBorders/>
            <w:shd w:fill="CFF0FC" w:val="clear"/>
            <w:vAlign w:val="bottom"/>
          </w:tcPr>
          <w:p>
            <w:pPr>
              <w:pStyle w:val="TableContents"/>
              <w:bidi w:val="0"/>
              <w:spacing w:before="0" w:after="283"/>
              <w:jc w:val="left"/>
              <w:rPr/>
            </w:pPr>
            <w:r>
              <w:rPr/>
              <w:t>  </w:t>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8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68" w:type="dxa"/>
            <w:tcBorders/>
            <w:shd w:fill="CFF0FC" w:val="clear"/>
            <w:vAlign w:val="bottom"/>
          </w:tcPr>
          <w:p>
            <w:pPr>
              <w:pStyle w:val="TableContents"/>
              <w:bidi w:val="0"/>
              <w:spacing w:before="0" w:after="283"/>
              <w:jc w:val="left"/>
              <w:rPr>
                <w:sz w:val="4"/>
                <w:szCs w:val="4"/>
              </w:rPr>
            </w:pPr>
            <w:r>
              <w:rPr>
                <w:sz w:val="4"/>
                <w:szCs w:val="4"/>
              </w:rPr>
            </w:r>
          </w:p>
        </w:tc>
        <w:tc>
          <w:tcPr>
            <w:tcW w:w="918" w:type="dxa"/>
            <w:tcBorders/>
            <w:shd w:fill="CFF0FC" w:val="clear"/>
            <w:vAlign w:val="bottom"/>
          </w:tcPr>
          <w:p>
            <w:pPr>
              <w:pStyle w:val="TableContents"/>
              <w:bidi w:val="0"/>
              <w:spacing w:before="0" w:after="283"/>
              <w:jc w:val="left"/>
              <w:rPr>
                <w:sz w:val="4"/>
                <w:szCs w:val="4"/>
              </w:rPr>
            </w:pPr>
            <w:r>
              <w:rPr>
                <w:sz w:val="4"/>
                <w:szCs w:val="4"/>
              </w:rPr>
            </w:r>
          </w:p>
        </w:tc>
        <w:tc>
          <w:tcPr>
            <w:tcW w:w="7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79" w:type="dxa"/>
            <w:tcBorders/>
            <w:shd w:fill="CFF0FC" w:val="clear"/>
            <w:vAlign w:val="bottom"/>
          </w:tcPr>
          <w:p>
            <w:pPr>
              <w:pStyle w:val="TableContents"/>
              <w:bidi w:val="0"/>
              <w:spacing w:before="0" w:after="283"/>
              <w:jc w:val="left"/>
              <w:rPr>
                <w:sz w:val="4"/>
                <w:szCs w:val="4"/>
              </w:rPr>
            </w:pPr>
            <w:r>
              <w:rPr>
                <w:sz w:val="4"/>
                <w:szCs w:val="4"/>
              </w:rPr>
            </w:r>
          </w:p>
        </w:tc>
        <w:tc>
          <w:tcPr>
            <w:tcW w:w="902" w:type="dxa"/>
            <w:tcBorders/>
            <w:shd w:fill="CFF0FC" w:val="clear"/>
            <w:vAlign w:val="bottom"/>
          </w:tcPr>
          <w:p>
            <w:pPr>
              <w:pStyle w:val="TableContents"/>
              <w:bidi w:val="0"/>
              <w:spacing w:before="0" w:after="283"/>
              <w:jc w:val="left"/>
              <w:rPr>
                <w:sz w:val="4"/>
                <w:szCs w:val="4"/>
              </w:rPr>
            </w:pPr>
            <w:r>
              <w:rPr>
                <w:sz w:val="4"/>
                <w:szCs w:val="4"/>
              </w:rPr>
            </w:r>
          </w:p>
        </w:tc>
        <w:tc>
          <w:tcPr>
            <w:tcW w:w="85"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5928" w:type="dxa"/>
            <w:tcBorders/>
          </w:tcPr>
          <w:p>
            <w:pPr>
              <w:pStyle w:val="TableContents"/>
              <w:bidi w:val="0"/>
              <w:spacing w:before="0" w:after="0"/>
              <w:jc w:val="left"/>
              <w:rPr>
                <w:rFonts w:ascii="Times New Roman" w:hAnsi="Times New Roman"/>
                <w:b/>
                <w:sz w:val="16"/>
              </w:rPr>
            </w:pPr>
            <w:r>
              <w:rPr>
                <w:rFonts w:ascii="Times New Roman" w:hAnsi="Times New Roman"/>
                <w:b/>
                <w:sz w:val="16"/>
              </w:rPr>
              <w:t>All nominees for election as a director</w:t>
            </w:r>
          </w:p>
        </w:tc>
        <w:tc>
          <w:tcPr>
            <w:tcW w:w="43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Susan Heystee</w:t>
            </w:r>
          </w:p>
        </w:tc>
        <w:tc>
          <w:tcPr>
            <w:tcW w:w="439" w:type="dxa"/>
            <w:tcBorders/>
            <w:shd w:fill="CFF0FC" w:val="clear"/>
            <w:vAlign w:val="bottom"/>
          </w:tcPr>
          <w:p>
            <w:pPr>
              <w:pStyle w:val="TableContents"/>
              <w:bidi w:val="0"/>
              <w:spacing w:before="0" w:after="283"/>
              <w:jc w:val="left"/>
              <w:rPr/>
            </w:pPr>
            <w:r>
              <w:rPr/>
              <w:t>  </w:t>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8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68" w:type="dxa"/>
            <w:tcBorders/>
            <w:shd w:fill="CFF0FC" w:val="clear"/>
            <w:vAlign w:val="bottom"/>
          </w:tcPr>
          <w:p>
            <w:pPr>
              <w:pStyle w:val="TableContents"/>
              <w:bidi w:val="0"/>
              <w:spacing w:before="0" w:after="283"/>
              <w:jc w:val="left"/>
              <w:rPr>
                <w:sz w:val="4"/>
                <w:szCs w:val="4"/>
              </w:rPr>
            </w:pPr>
            <w:r>
              <w:rPr>
                <w:sz w:val="4"/>
                <w:szCs w:val="4"/>
              </w:rPr>
            </w:r>
          </w:p>
        </w:tc>
        <w:tc>
          <w:tcPr>
            <w:tcW w:w="918" w:type="dxa"/>
            <w:tcBorders/>
            <w:shd w:fill="CFF0FC" w:val="clear"/>
            <w:vAlign w:val="bottom"/>
          </w:tcPr>
          <w:p>
            <w:pPr>
              <w:pStyle w:val="TableContents"/>
              <w:bidi w:val="0"/>
              <w:spacing w:before="0" w:after="283"/>
              <w:jc w:val="left"/>
              <w:rPr>
                <w:sz w:val="4"/>
                <w:szCs w:val="4"/>
              </w:rPr>
            </w:pPr>
            <w:r>
              <w:rPr>
                <w:sz w:val="4"/>
                <w:szCs w:val="4"/>
              </w:rPr>
            </w:r>
          </w:p>
        </w:tc>
        <w:tc>
          <w:tcPr>
            <w:tcW w:w="7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79" w:type="dxa"/>
            <w:tcBorders/>
            <w:shd w:fill="CFF0FC" w:val="clear"/>
            <w:vAlign w:val="bottom"/>
          </w:tcPr>
          <w:p>
            <w:pPr>
              <w:pStyle w:val="TableContents"/>
              <w:bidi w:val="0"/>
              <w:spacing w:before="0" w:after="283"/>
              <w:jc w:val="left"/>
              <w:rPr>
                <w:sz w:val="4"/>
                <w:szCs w:val="4"/>
              </w:rPr>
            </w:pPr>
            <w:r>
              <w:rPr>
                <w:sz w:val="4"/>
                <w:szCs w:val="4"/>
              </w:rPr>
            </w:r>
          </w:p>
        </w:tc>
        <w:tc>
          <w:tcPr>
            <w:tcW w:w="902" w:type="dxa"/>
            <w:tcBorders/>
            <w:shd w:fill="CFF0FC" w:val="clear"/>
            <w:vAlign w:val="bottom"/>
          </w:tcPr>
          <w:p>
            <w:pPr>
              <w:pStyle w:val="TableContents"/>
              <w:bidi w:val="0"/>
              <w:spacing w:before="0" w:after="283"/>
              <w:jc w:val="left"/>
              <w:rPr>
                <w:sz w:val="4"/>
                <w:szCs w:val="4"/>
              </w:rPr>
            </w:pPr>
            <w:r>
              <w:rPr>
                <w:sz w:val="4"/>
                <w:szCs w:val="4"/>
              </w:rPr>
            </w:r>
          </w:p>
        </w:tc>
        <w:tc>
          <w:tcPr>
            <w:tcW w:w="85"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5928" w:type="dxa"/>
            <w:tcBorders/>
          </w:tcPr>
          <w:p>
            <w:pPr>
              <w:pStyle w:val="TableContents"/>
              <w:bidi w:val="0"/>
              <w:spacing w:before="0" w:after="0"/>
              <w:jc w:val="left"/>
              <w:rPr>
                <w:rFonts w:ascii="Times New Roman" w:hAnsi="Times New Roman"/>
                <w:sz w:val="16"/>
              </w:rPr>
            </w:pPr>
            <w:r>
              <w:rPr>
                <w:rFonts w:ascii="Times New Roman" w:hAnsi="Times New Roman"/>
                <w:sz w:val="16"/>
              </w:rPr>
              <w:t>Theodore L. Tewksbury, Ph.D.</w:t>
            </w:r>
          </w:p>
        </w:tc>
        <w:tc>
          <w:tcPr>
            <w:tcW w:w="43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Associate of any such directors, executive officers or nominees</w:t>
            </w:r>
          </w:p>
        </w:tc>
        <w:tc>
          <w:tcPr>
            <w:tcW w:w="439" w:type="dxa"/>
            <w:tcBorders/>
            <w:shd w:fill="CFF0FC" w:val="clear"/>
            <w:vAlign w:val="bottom"/>
          </w:tcPr>
          <w:p>
            <w:pPr>
              <w:pStyle w:val="TableContents"/>
              <w:bidi w:val="0"/>
              <w:spacing w:before="0" w:after="283"/>
              <w:jc w:val="left"/>
              <w:rPr/>
            </w:pPr>
            <w:r>
              <w:rPr/>
              <w:t>  </w:t>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79" w:type="dxa"/>
            <w:tcBorders/>
            <w:shd w:fill="CFF0FC" w:val="clear"/>
            <w:vAlign w:val="bottom"/>
          </w:tcPr>
          <w:p>
            <w:pPr>
              <w:pStyle w:val="TableContents"/>
              <w:bidi w:val="0"/>
              <w:spacing w:before="0" w:after="283"/>
              <w:jc w:val="left"/>
              <w:rPr>
                <w:sz w:val="4"/>
                <w:szCs w:val="4"/>
              </w:rPr>
            </w:pPr>
            <w:r>
              <w:rPr>
                <w:sz w:val="4"/>
                <w:szCs w:val="4"/>
              </w:rPr>
            </w:r>
          </w:p>
        </w:tc>
        <w:tc>
          <w:tcPr>
            <w:tcW w:w="28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68" w:type="dxa"/>
            <w:tcBorders/>
            <w:shd w:fill="CFF0FC" w:val="clear"/>
            <w:vAlign w:val="bottom"/>
          </w:tcPr>
          <w:p>
            <w:pPr>
              <w:pStyle w:val="TableContents"/>
              <w:bidi w:val="0"/>
              <w:spacing w:before="0" w:after="283"/>
              <w:jc w:val="left"/>
              <w:rPr>
                <w:sz w:val="4"/>
                <w:szCs w:val="4"/>
              </w:rPr>
            </w:pPr>
            <w:r>
              <w:rPr>
                <w:sz w:val="4"/>
                <w:szCs w:val="4"/>
              </w:rPr>
            </w:r>
          </w:p>
        </w:tc>
        <w:tc>
          <w:tcPr>
            <w:tcW w:w="918" w:type="dxa"/>
            <w:tcBorders/>
            <w:shd w:fill="CFF0FC" w:val="clear"/>
            <w:vAlign w:val="bottom"/>
          </w:tcPr>
          <w:p>
            <w:pPr>
              <w:pStyle w:val="TableContents"/>
              <w:bidi w:val="0"/>
              <w:spacing w:before="0" w:after="283"/>
              <w:jc w:val="left"/>
              <w:rPr>
                <w:sz w:val="4"/>
                <w:szCs w:val="4"/>
              </w:rPr>
            </w:pPr>
            <w:r>
              <w:rPr>
                <w:sz w:val="4"/>
                <w:szCs w:val="4"/>
              </w:rPr>
            </w:r>
          </w:p>
        </w:tc>
        <w:tc>
          <w:tcPr>
            <w:tcW w:w="70" w:type="dxa"/>
            <w:tcBorders/>
            <w:shd w:fill="CFF0FC" w:val="clear"/>
            <w:vAlign w:val="bottom"/>
          </w:tcPr>
          <w:p>
            <w:pPr>
              <w:pStyle w:val="TableContents"/>
              <w:bidi w:val="0"/>
              <w:spacing w:before="0" w:after="283"/>
              <w:jc w:val="left"/>
              <w:rPr>
                <w:sz w:val="4"/>
                <w:szCs w:val="4"/>
              </w:rPr>
            </w:pPr>
            <w:r>
              <w:rPr>
                <w:sz w:val="4"/>
                <w:szCs w:val="4"/>
              </w:rPr>
            </w:r>
          </w:p>
        </w:tc>
        <w:tc>
          <w:tcPr>
            <w:tcW w:w="439" w:type="dxa"/>
            <w:tcBorders/>
            <w:shd w:fill="CFF0FC" w:val="clear"/>
            <w:vAlign w:val="bottom"/>
          </w:tcPr>
          <w:p>
            <w:pPr>
              <w:pStyle w:val="TableContents"/>
              <w:bidi w:val="0"/>
              <w:spacing w:before="0" w:after="283"/>
              <w:jc w:val="left"/>
              <w:rPr/>
            </w:pPr>
            <w:r>
              <w:rPr/>
              <w:t>  </w:t>
            </w:r>
          </w:p>
        </w:tc>
        <w:tc>
          <w:tcPr>
            <w:tcW w:w="79" w:type="dxa"/>
            <w:tcBorders/>
            <w:shd w:fill="CFF0FC" w:val="clear"/>
            <w:vAlign w:val="bottom"/>
          </w:tcPr>
          <w:p>
            <w:pPr>
              <w:pStyle w:val="TableContents"/>
              <w:bidi w:val="0"/>
              <w:spacing w:before="0" w:after="283"/>
              <w:jc w:val="left"/>
              <w:rPr>
                <w:sz w:val="4"/>
                <w:szCs w:val="4"/>
              </w:rPr>
            </w:pPr>
            <w:r>
              <w:rPr>
                <w:sz w:val="4"/>
                <w:szCs w:val="4"/>
              </w:rPr>
            </w:r>
          </w:p>
        </w:tc>
        <w:tc>
          <w:tcPr>
            <w:tcW w:w="902" w:type="dxa"/>
            <w:tcBorders/>
            <w:shd w:fill="CFF0FC" w:val="clear"/>
            <w:vAlign w:val="bottom"/>
          </w:tcPr>
          <w:p>
            <w:pPr>
              <w:pStyle w:val="TableContents"/>
              <w:bidi w:val="0"/>
              <w:spacing w:before="0" w:after="283"/>
              <w:jc w:val="left"/>
              <w:rPr>
                <w:sz w:val="4"/>
                <w:szCs w:val="4"/>
              </w:rPr>
            </w:pPr>
            <w:r>
              <w:rPr>
                <w:sz w:val="4"/>
                <w:szCs w:val="4"/>
              </w:rPr>
            </w:r>
          </w:p>
        </w:tc>
        <w:tc>
          <w:tcPr>
            <w:tcW w:w="85"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5928" w:type="dxa"/>
            <w:tcBorders/>
          </w:tcPr>
          <w:p>
            <w:pPr>
              <w:pStyle w:val="TableContents"/>
              <w:bidi w:val="0"/>
              <w:spacing w:before="0" w:after="0"/>
              <w:jc w:val="left"/>
              <w:rPr>
                <w:rFonts w:ascii="Times New Roman" w:hAnsi="Times New Roman"/>
                <w:b/>
                <w:sz w:val="16"/>
              </w:rPr>
            </w:pPr>
            <w:r>
              <w:rPr>
                <w:rFonts w:ascii="Times New Roman" w:hAnsi="Times New Roman"/>
                <w:b/>
                <w:sz w:val="16"/>
              </w:rPr>
              <w:t>Other persons who received or is to receive 5% of such options or rights</w:t>
            </w:r>
          </w:p>
        </w:tc>
        <w:tc>
          <w:tcPr>
            <w:tcW w:w="439"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928" w:type="dxa"/>
            <w:tcBorders/>
            <w:shd w:fill="CFF0FC" w:val="clear"/>
            <w:vAlign w:val="center"/>
          </w:tcPr>
          <w:p>
            <w:pPr>
              <w:pStyle w:val="TableContents"/>
              <w:bidi w:val="0"/>
              <w:spacing w:before="0" w:after="283"/>
              <w:jc w:val="left"/>
              <w:rPr>
                <w:sz w:val="4"/>
                <w:szCs w:val="4"/>
              </w:rPr>
            </w:pPr>
            <w:r>
              <w:rPr>
                <w:sz w:val="4"/>
                <w:szCs w:val="4"/>
              </w:rPr>
            </w:r>
          </w:p>
        </w:tc>
        <w:tc>
          <w:tcPr>
            <w:tcW w:w="1277" w:type="dxa"/>
            <w:gridSpan w:val="4"/>
            <w:tcBorders/>
            <w:shd w:fill="CFF0FC" w:val="clear"/>
            <w:vAlign w:val="center"/>
          </w:tcPr>
          <w:p>
            <w:pPr>
              <w:pStyle w:val="TableContents"/>
              <w:bidi w:val="0"/>
              <w:spacing w:before="0" w:after="283"/>
              <w:jc w:val="left"/>
              <w:rPr>
                <w:sz w:val="4"/>
                <w:szCs w:val="4"/>
              </w:rPr>
            </w:pPr>
            <w:r>
              <w:rPr>
                <w:sz w:val="4"/>
                <w:szCs w:val="4"/>
              </w:rPr>
            </w:r>
          </w:p>
        </w:tc>
        <w:tc>
          <w:tcPr>
            <w:tcW w:w="1495" w:type="dxa"/>
            <w:gridSpan w:val="4"/>
            <w:tcBorders/>
            <w:shd w:fill="CFF0FC" w:val="clear"/>
            <w:vAlign w:val="center"/>
          </w:tcPr>
          <w:p>
            <w:pPr>
              <w:pStyle w:val="TableContents"/>
              <w:bidi w:val="0"/>
              <w:spacing w:before="0" w:after="283"/>
              <w:jc w:val="left"/>
              <w:rPr>
                <w:sz w:val="4"/>
                <w:szCs w:val="4"/>
              </w:rPr>
            </w:pPr>
            <w:r>
              <w:rPr>
                <w:sz w:val="4"/>
                <w:szCs w:val="4"/>
              </w:rPr>
            </w:r>
          </w:p>
        </w:tc>
        <w:tc>
          <w:tcPr>
            <w:tcW w:w="1505"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5928" w:type="dxa"/>
            <w:tcBorders>
              <w:bottom w:val="single" w:sz="2" w:space="0" w:color="000000"/>
            </w:tcBorders>
            <w:shd w:fill="CFF0FC" w:val="clear"/>
            <w:tcMar>
              <w:bottom w:w="28" w:type="dxa"/>
            </w:tcMar>
          </w:tcPr>
          <w:p>
            <w:pPr>
              <w:pStyle w:val="TableContents"/>
              <w:bidi w:val="0"/>
              <w:spacing w:before="0" w:after="0"/>
              <w:jc w:val="left"/>
              <w:rPr>
                <w:rFonts w:ascii="Times New Roman" w:hAnsi="Times New Roman"/>
                <w:b/>
                <w:sz w:val="16"/>
              </w:rPr>
            </w:pPr>
            <w:r>
              <w:rPr>
                <w:rFonts w:ascii="Times New Roman" w:hAnsi="Times New Roman"/>
                <w:b/>
                <w:sz w:val="16"/>
              </w:rPr>
              <w:t>All non-executive officer employees as a group</w:t>
            </w:r>
          </w:p>
        </w:tc>
        <w:tc>
          <w:tcPr>
            <w:tcW w:w="439"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279"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279"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28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439"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68"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918" w:type="dxa"/>
            <w:tcBorders>
              <w:bottom w:val="single" w:sz="2" w:space="0" w:color="000000"/>
            </w:tcBorders>
            <w:shd w:fill="CFF0FC" w:val="clear"/>
            <w:tcMar>
              <w:bottom w:w="28" w:type="dxa"/>
            </w:tcMar>
            <w:vAlign w:val="bottom"/>
          </w:tcPr>
          <w:p>
            <w:pPr>
              <w:pStyle w:val="TableContents"/>
              <w:bidi w:val="0"/>
              <w:spacing w:before="0" w:after="283"/>
              <w:jc w:val="right"/>
              <w:rPr>
                <w:b/>
              </w:rPr>
            </w:pPr>
            <w:r>
              <w:rPr>
                <w:b/>
              </w:rPr>
              <w:t>864,192</w:t>
            </w:r>
          </w:p>
        </w:tc>
        <w:tc>
          <w:tcPr>
            <w:tcW w:w="7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439"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79"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902"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both"/>
        <w:rPr>
          <w:rFonts w:ascii="Times New Roman" w:hAnsi="Times New Roman"/>
          <w:sz w:val="20"/>
        </w:rPr>
      </w:pPr>
      <w:r>
        <w:rPr>
          <w:rFonts w:ascii="Times New Roman" w:hAnsi="Times New Roman"/>
          <w:sz w:val="20"/>
        </w:rPr>
        <w:t xml:space="preserve">See the section of this Proxy Statement titled Equity Compensation Plan Information for additional information regarding the Velodyne Plan.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Directors and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Our directors and executive officers (including our named executive officers) have substantial interests in the matters set forth in the Velodyne Plan Proposal since equity awards may be granted to them in the future under the Velodyne Plan.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approval of the Velodyne Lidar, Inc. 2020 Equity Incentive Plan will require the affirmative vote of the holders of a majority in voting power of the votes cast at the Annual Meeting. Abstentions and broker non-votes are not considered to be votes cast, and accordingly will have no effect on the outcome of the vote on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0"/>
              <w:jc w:val="both"/>
              <w:rPr/>
            </w:pPr>
            <w:r>
              <w:rPr/>
              <w:drawing>
                <wp:inline distT="0" distB="0" distL="0" distR="0">
                  <wp:extent cx="22860" cy="228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860" cy="2286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0"/>
              <w:jc w:val="both"/>
              <w:rPr>
                <w:rFonts w:ascii="Times New Roman" w:hAnsi="Times New Roman"/>
                <w:b/>
                <w:sz w:val="20"/>
              </w:rPr>
            </w:pPr>
            <w:r>
              <w:rPr>
                <w:rFonts w:ascii="Times New Roman" w:hAnsi="Times New Roman"/>
                <w:b/>
                <w:sz w:val="20"/>
              </w:rPr>
              <w:t>The Board of Directors unanimously recommends a vote FOR the Velodyne Lidar, Inc. 2020 Equity Incentive Plan.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14" w:name="toc800696_12"/>
      <w:bookmarkEnd w:id="14"/>
      <w:r>
        <w:rPr>
          <w:rFonts w:ascii="Times New Roman" w:hAnsi="Times New Roman"/>
          <w:b/>
          <w:sz w:val="20"/>
        </w:rPr>
        <w:t xml:space="preserve">EXECUTIVE OFFICERS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identifies our current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9"/>
        <w:gridCol w:w="201"/>
        <w:gridCol w:w="425"/>
        <w:gridCol w:w="201"/>
        <w:gridCol w:w="6139"/>
      </w:tblGrid>
      <w:tr>
        <w:trPr/>
        <w:tc>
          <w:tcPr>
            <w:tcW w:w="323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139" w:type="dxa"/>
            <w:tcBorders/>
            <w:vAlign w:val="center"/>
          </w:tcPr>
          <w:p>
            <w:pPr>
              <w:pStyle w:val="TableContents"/>
              <w:bidi w:val="0"/>
              <w:spacing w:before="0" w:after="283"/>
              <w:jc w:val="left"/>
              <w:rPr>
                <w:sz w:val="4"/>
                <w:szCs w:val="4"/>
              </w:rPr>
            </w:pPr>
            <w:r>
              <w:rPr>
                <w:sz w:val="4"/>
                <w:szCs w:val="4"/>
              </w:rPr>
            </w:r>
          </w:p>
        </w:tc>
      </w:tr>
      <w:tr>
        <w:trPr/>
        <w:tc>
          <w:tcPr>
            <w:tcW w:w="3239"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201" w:type="dxa"/>
            <w:tcBorders>
              <w:bottom w:val="single" w:sz="2" w:space="0" w:color="000000"/>
            </w:tcBorders>
            <w:tcMar>
              <w:bottom w:w="28" w:type="dxa"/>
            </w:tcMar>
            <w:vAlign w:val="bottom"/>
          </w:tcPr>
          <w:p>
            <w:pPr>
              <w:pStyle w:val="TableContents"/>
              <w:bidi w:val="0"/>
              <w:spacing w:before="0" w:after="283"/>
              <w:jc w:val="left"/>
              <w:rPr/>
            </w:pPr>
            <w:r>
              <w:rPr/>
              <w:t>  </w:t>
            </w:r>
          </w:p>
        </w:tc>
        <w:tc>
          <w:tcPr>
            <w:tcW w:w="425" w:type="dxa"/>
            <w:tcBorders>
              <w:bottom w:val="single" w:sz="2" w:space="0" w:color="000000"/>
            </w:tcBorders>
            <w:tcMar>
              <w:bottom w:w="28" w:type="dxa"/>
            </w:tcMar>
            <w:vAlign w:val="bottom"/>
          </w:tcPr>
          <w:p>
            <w:pPr>
              <w:pStyle w:val="TableContents"/>
              <w:bidi w:val="0"/>
              <w:spacing w:before="0" w:after="283"/>
              <w:jc w:val="center"/>
              <w:rPr>
                <w:b/>
              </w:rPr>
            </w:pPr>
            <w:r>
              <w:rPr>
                <w:b/>
              </w:rPr>
              <w:t>Age</w:t>
            </w:r>
          </w:p>
        </w:tc>
        <w:tc>
          <w:tcPr>
            <w:tcW w:w="201" w:type="dxa"/>
            <w:tcBorders>
              <w:bottom w:val="single" w:sz="2" w:space="0" w:color="000000"/>
            </w:tcBorders>
            <w:tcMar>
              <w:bottom w:w="28" w:type="dxa"/>
            </w:tcMar>
            <w:vAlign w:val="bottom"/>
          </w:tcPr>
          <w:p>
            <w:pPr>
              <w:pStyle w:val="TableContents"/>
              <w:bidi w:val="0"/>
              <w:spacing w:before="0" w:after="283"/>
              <w:jc w:val="left"/>
              <w:rPr/>
            </w:pPr>
            <w:r>
              <w:rPr/>
              <w:t>  </w:t>
            </w:r>
          </w:p>
        </w:tc>
        <w:tc>
          <w:tcPr>
            <w:tcW w:w="6139" w:type="dxa"/>
            <w:tcBorders>
              <w:bottom w:val="single" w:sz="2" w:space="0" w:color="000000"/>
            </w:tcBorders>
            <w:tcMar>
              <w:bottom w:w="28" w:type="dxa"/>
            </w:tcMar>
            <w:vAlign w:val="bottom"/>
          </w:tcPr>
          <w:p>
            <w:pPr>
              <w:pStyle w:val="TableContents"/>
              <w:bidi w:val="0"/>
              <w:spacing w:before="0" w:after="283"/>
              <w:jc w:val="left"/>
              <w:rPr>
                <w:b/>
              </w:rPr>
            </w:pPr>
            <w:r>
              <w:rPr>
                <w:b/>
              </w:rPr>
              <w:t>Current Position(s) at Ouster</w:t>
            </w:r>
          </w:p>
        </w:tc>
      </w:tr>
      <w:tr>
        <w:trPr>
          <w:trHeight w:val="60" w:hRule="atLeast"/>
        </w:trPr>
        <w:tc>
          <w:tcPr>
            <w:tcW w:w="3239" w:type="dxa"/>
            <w:tcBorders/>
            <w:shd w:fill="CFF0FC" w:val="clear"/>
            <w:vAlign w:val="center"/>
          </w:tcPr>
          <w:p>
            <w:pPr>
              <w:pStyle w:val="TableContents"/>
              <w:bidi w:val="0"/>
              <w:spacing w:before="0" w:after="283"/>
              <w:jc w:val="left"/>
              <w:rPr>
                <w:sz w:val="4"/>
                <w:szCs w:val="4"/>
              </w:rPr>
            </w:pPr>
            <w:r>
              <w:rPr>
                <w:sz w:val="4"/>
                <w:szCs w:val="4"/>
              </w:rPr>
            </w:r>
          </w:p>
        </w:tc>
        <w:tc>
          <w:tcPr>
            <w:tcW w:w="626" w:type="dxa"/>
            <w:gridSpan w:val="2"/>
            <w:tcBorders/>
            <w:shd w:fill="CFF0FC" w:val="clear"/>
            <w:vAlign w:val="center"/>
          </w:tcPr>
          <w:p>
            <w:pPr>
              <w:pStyle w:val="TableContents"/>
              <w:bidi w:val="0"/>
              <w:spacing w:before="0" w:after="283"/>
              <w:jc w:val="left"/>
              <w:rPr>
                <w:sz w:val="4"/>
                <w:szCs w:val="4"/>
              </w:rPr>
            </w:pPr>
            <w:r>
              <w:rPr>
                <w:sz w:val="4"/>
                <w:szCs w:val="4"/>
              </w:rPr>
            </w:r>
          </w:p>
        </w:tc>
        <w:tc>
          <w:tcPr>
            <w:tcW w:w="634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3239"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Angus Pacala</w:t>
            </w:r>
          </w:p>
        </w:tc>
        <w:tc>
          <w:tcPr>
            <w:tcW w:w="201" w:type="dxa"/>
            <w:tcBorders/>
            <w:shd w:fill="CFF0FC" w:val="clear"/>
            <w:vAlign w:val="bottom"/>
          </w:tcPr>
          <w:p>
            <w:pPr>
              <w:pStyle w:val="TableContents"/>
              <w:bidi w:val="0"/>
              <w:spacing w:before="0" w:after="283"/>
              <w:jc w:val="left"/>
              <w:rPr/>
            </w:pPr>
            <w:r>
              <w:rPr/>
              <w:t>  </w:t>
            </w:r>
          </w:p>
        </w:tc>
        <w:tc>
          <w:tcPr>
            <w:tcW w:w="425" w:type="dxa"/>
            <w:tcBorders/>
            <w:shd w:fill="CFF0FC" w:val="clear"/>
            <w:vAlign w:val="bottom"/>
          </w:tcPr>
          <w:p>
            <w:pPr>
              <w:pStyle w:val="TableContents"/>
              <w:bidi w:val="0"/>
              <w:spacing w:before="0" w:after="283"/>
              <w:jc w:val="center"/>
              <w:rPr/>
            </w:pPr>
            <w:r>
              <w:rPr/>
              <w:t>36</w:t>
            </w:r>
          </w:p>
        </w:tc>
        <w:tc>
          <w:tcPr>
            <w:tcW w:w="201" w:type="dxa"/>
            <w:tcBorders/>
            <w:shd w:fill="CFF0FC" w:val="clear"/>
            <w:vAlign w:val="bottom"/>
          </w:tcPr>
          <w:p>
            <w:pPr>
              <w:pStyle w:val="TableContents"/>
              <w:bidi w:val="0"/>
              <w:spacing w:before="0" w:after="283"/>
              <w:jc w:val="left"/>
              <w:rPr/>
            </w:pPr>
            <w:r>
              <w:rPr/>
              <w:t>  </w:t>
            </w:r>
          </w:p>
        </w:tc>
        <w:tc>
          <w:tcPr>
            <w:tcW w:w="6139" w:type="dxa"/>
            <w:tcBorders/>
            <w:shd w:fill="CFF0FC" w:val="clear"/>
            <w:vAlign w:val="bottom"/>
          </w:tcPr>
          <w:p>
            <w:pPr>
              <w:pStyle w:val="TableContents"/>
              <w:bidi w:val="0"/>
              <w:spacing w:before="0" w:after="283"/>
              <w:jc w:val="left"/>
              <w:rPr/>
            </w:pPr>
            <w:r>
              <w:rPr/>
              <w:t>Co-Founder, Chief Executive Officer and Director</w:t>
            </w:r>
          </w:p>
        </w:tc>
      </w:tr>
      <w:tr>
        <w:trPr>
          <w:trHeight w:val="60" w:hRule="atLeast"/>
        </w:trPr>
        <w:tc>
          <w:tcPr>
            <w:tcW w:w="3239" w:type="dxa"/>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6340" w:type="dxa"/>
            <w:gridSpan w:val="2"/>
            <w:tcBorders/>
            <w:vAlign w:val="center"/>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16"/>
              </w:rPr>
            </w:pPr>
            <w:r>
              <w:rPr>
                <w:rFonts w:ascii="Times New Roman" w:hAnsi="Times New Roman"/>
                <w:sz w:val="16"/>
              </w:rPr>
              <w:t>Mark Frichtl</w:t>
            </w:r>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35</w:t>
            </w:r>
          </w:p>
        </w:tc>
        <w:tc>
          <w:tcPr>
            <w:tcW w:w="201" w:type="dxa"/>
            <w:tcBorders/>
            <w:vAlign w:val="bottom"/>
          </w:tcPr>
          <w:p>
            <w:pPr>
              <w:pStyle w:val="TableContents"/>
              <w:bidi w:val="0"/>
              <w:spacing w:before="0" w:after="283"/>
              <w:jc w:val="left"/>
              <w:rPr/>
            </w:pPr>
            <w:r>
              <w:rPr/>
              <w:t>  </w:t>
            </w:r>
          </w:p>
        </w:tc>
        <w:tc>
          <w:tcPr>
            <w:tcW w:w="6139" w:type="dxa"/>
            <w:tcBorders/>
            <w:vAlign w:val="bottom"/>
          </w:tcPr>
          <w:p>
            <w:pPr>
              <w:pStyle w:val="TableContents"/>
              <w:bidi w:val="0"/>
              <w:spacing w:before="0" w:after="283"/>
              <w:jc w:val="left"/>
              <w:rPr/>
            </w:pPr>
            <w:r>
              <w:rPr/>
              <w:t>Co-Founder and Chief Technology Officer</w:t>
            </w:r>
          </w:p>
        </w:tc>
      </w:tr>
      <w:tr>
        <w:trPr>
          <w:trHeight w:val="60" w:hRule="atLeast"/>
        </w:trPr>
        <w:tc>
          <w:tcPr>
            <w:tcW w:w="3239" w:type="dxa"/>
            <w:tcBorders/>
            <w:shd w:fill="CFF0FC" w:val="clear"/>
            <w:vAlign w:val="center"/>
          </w:tcPr>
          <w:p>
            <w:pPr>
              <w:pStyle w:val="TableContents"/>
              <w:bidi w:val="0"/>
              <w:spacing w:before="0" w:after="283"/>
              <w:jc w:val="left"/>
              <w:rPr>
                <w:sz w:val="4"/>
                <w:szCs w:val="4"/>
              </w:rPr>
            </w:pPr>
            <w:r>
              <w:rPr>
                <w:sz w:val="4"/>
                <w:szCs w:val="4"/>
              </w:rPr>
            </w:r>
          </w:p>
        </w:tc>
        <w:tc>
          <w:tcPr>
            <w:tcW w:w="626" w:type="dxa"/>
            <w:gridSpan w:val="2"/>
            <w:tcBorders/>
            <w:shd w:fill="CFF0FC" w:val="clear"/>
            <w:vAlign w:val="center"/>
          </w:tcPr>
          <w:p>
            <w:pPr>
              <w:pStyle w:val="TableContents"/>
              <w:bidi w:val="0"/>
              <w:spacing w:before="0" w:after="283"/>
              <w:jc w:val="left"/>
              <w:rPr>
                <w:sz w:val="4"/>
                <w:szCs w:val="4"/>
              </w:rPr>
            </w:pPr>
            <w:r>
              <w:rPr>
                <w:sz w:val="4"/>
                <w:szCs w:val="4"/>
              </w:rPr>
            </w:r>
          </w:p>
        </w:tc>
        <w:tc>
          <w:tcPr>
            <w:tcW w:w="634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3239"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Mark Weinswig</w:t>
            </w:r>
          </w:p>
        </w:tc>
        <w:tc>
          <w:tcPr>
            <w:tcW w:w="201" w:type="dxa"/>
            <w:tcBorders/>
            <w:shd w:fill="CFF0FC" w:val="clear"/>
            <w:vAlign w:val="bottom"/>
          </w:tcPr>
          <w:p>
            <w:pPr>
              <w:pStyle w:val="TableContents"/>
              <w:bidi w:val="0"/>
              <w:spacing w:before="0" w:after="283"/>
              <w:jc w:val="left"/>
              <w:rPr/>
            </w:pPr>
            <w:r>
              <w:rPr/>
              <w:t>  </w:t>
            </w:r>
          </w:p>
        </w:tc>
        <w:tc>
          <w:tcPr>
            <w:tcW w:w="425" w:type="dxa"/>
            <w:tcBorders/>
            <w:shd w:fill="CFF0FC" w:val="clear"/>
            <w:vAlign w:val="bottom"/>
          </w:tcPr>
          <w:p>
            <w:pPr>
              <w:pStyle w:val="TableContents"/>
              <w:bidi w:val="0"/>
              <w:spacing w:before="0" w:after="283"/>
              <w:jc w:val="center"/>
              <w:rPr/>
            </w:pPr>
            <w:r>
              <w:rPr/>
              <w:t>51</w:t>
            </w:r>
          </w:p>
        </w:tc>
        <w:tc>
          <w:tcPr>
            <w:tcW w:w="201" w:type="dxa"/>
            <w:tcBorders/>
            <w:shd w:fill="CFF0FC" w:val="clear"/>
            <w:vAlign w:val="bottom"/>
          </w:tcPr>
          <w:p>
            <w:pPr>
              <w:pStyle w:val="TableContents"/>
              <w:bidi w:val="0"/>
              <w:spacing w:before="0" w:after="283"/>
              <w:jc w:val="left"/>
              <w:rPr/>
            </w:pPr>
            <w:r>
              <w:rPr/>
              <w:t>  </w:t>
            </w:r>
          </w:p>
        </w:tc>
        <w:tc>
          <w:tcPr>
            <w:tcW w:w="6139" w:type="dxa"/>
            <w:tcBorders/>
            <w:shd w:fill="CFF0FC" w:val="clear"/>
            <w:vAlign w:val="bottom"/>
          </w:tcPr>
          <w:p>
            <w:pPr>
              <w:pStyle w:val="TableContents"/>
              <w:bidi w:val="0"/>
              <w:spacing w:before="0" w:after="283"/>
              <w:jc w:val="left"/>
              <w:rPr/>
            </w:pPr>
            <w:r>
              <w:rPr/>
              <w:t>Chief Financial Officer</w:t>
            </w:r>
          </w:p>
        </w:tc>
      </w:tr>
      <w:tr>
        <w:trPr>
          <w:trHeight w:val="60" w:hRule="atLeast"/>
        </w:trPr>
        <w:tc>
          <w:tcPr>
            <w:tcW w:w="3239" w:type="dxa"/>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6340" w:type="dxa"/>
            <w:gridSpan w:val="2"/>
            <w:tcBorders/>
            <w:vAlign w:val="center"/>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16"/>
              </w:rPr>
            </w:pPr>
            <w:r>
              <w:rPr>
                <w:rFonts w:ascii="Times New Roman" w:hAnsi="Times New Roman"/>
                <w:sz w:val="16"/>
              </w:rPr>
              <w:t>Darien Spencer</w:t>
            </w:r>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60</w:t>
            </w:r>
          </w:p>
        </w:tc>
        <w:tc>
          <w:tcPr>
            <w:tcW w:w="201" w:type="dxa"/>
            <w:tcBorders/>
            <w:vAlign w:val="bottom"/>
          </w:tcPr>
          <w:p>
            <w:pPr>
              <w:pStyle w:val="TableContents"/>
              <w:bidi w:val="0"/>
              <w:spacing w:before="0" w:after="283"/>
              <w:jc w:val="left"/>
              <w:rPr/>
            </w:pPr>
            <w:r>
              <w:rPr/>
              <w:t>  </w:t>
            </w:r>
          </w:p>
        </w:tc>
        <w:tc>
          <w:tcPr>
            <w:tcW w:w="6139" w:type="dxa"/>
            <w:tcBorders/>
            <w:vAlign w:val="bottom"/>
          </w:tcPr>
          <w:p>
            <w:pPr>
              <w:pStyle w:val="TableContents"/>
              <w:bidi w:val="0"/>
              <w:spacing w:before="0" w:after="283"/>
              <w:jc w:val="left"/>
              <w:rPr/>
            </w:pPr>
            <w:r>
              <w:rPr/>
              <w:t>Chief Operating Officer</w:t>
            </w:r>
          </w:p>
        </w:tc>
      </w:tr>
      <w:tr>
        <w:trPr>
          <w:trHeight w:val="60" w:hRule="atLeast"/>
        </w:trPr>
        <w:tc>
          <w:tcPr>
            <w:tcW w:w="3239" w:type="dxa"/>
            <w:tcBorders/>
            <w:shd w:fill="CFF0FC" w:val="clear"/>
            <w:vAlign w:val="center"/>
          </w:tcPr>
          <w:p>
            <w:pPr>
              <w:pStyle w:val="TableContents"/>
              <w:bidi w:val="0"/>
              <w:spacing w:before="0" w:after="283"/>
              <w:jc w:val="left"/>
              <w:rPr>
                <w:sz w:val="4"/>
                <w:szCs w:val="4"/>
              </w:rPr>
            </w:pPr>
            <w:r>
              <w:rPr>
                <w:sz w:val="4"/>
                <w:szCs w:val="4"/>
              </w:rPr>
            </w:r>
          </w:p>
        </w:tc>
        <w:tc>
          <w:tcPr>
            <w:tcW w:w="626" w:type="dxa"/>
            <w:gridSpan w:val="2"/>
            <w:tcBorders/>
            <w:shd w:fill="CFF0FC" w:val="clear"/>
            <w:vAlign w:val="center"/>
          </w:tcPr>
          <w:p>
            <w:pPr>
              <w:pStyle w:val="TableContents"/>
              <w:bidi w:val="0"/>
              <w:spacing w:before="0" w:after="283"/>
              <w:jc w:val="left"/>
              <w:rPr>
                <w:sz w:val="4"/>
                <w:szCs w:val="4"/>
              </w:rPr>
            </w:pPr>
            <w:r>
              <w:rPr>
                <w:sz w:val="4"/>
                <w:szCs w:val="4"/>
              </w:rPr>
            </w:r>
          </w:p>
        </w:tc>
        <w:tc>
          <w:tcPr>
            <w:tcW w:w="634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3239" w:type="dxa"/>
            <w:tcBorders>
              <w:bottom w:val="single" w:sz="2" w:space="0" w:color="000000"/>
            </w:tcBorders>
            <w:shd w:fill="CFF0FC" w:val="clear"/>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Megan Chung</w:t>
            </w:r>
          </w:p>
        </w:tc>
        <w:tc>
          <w:tcPr>
            <w:tcW w:w="201"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425" w:type="dxa"/>
            <w:tcBorders>
              <w:bottom w:val="single" w:sz="2" w:space="0" w:color="000000"/>
            </w:tcBorders>
            <w:shd w:fill="CFF0FC" w:val="clear"/>
            <w:tcMar>
              <w:bottom w:w="60" w:type="dxa"/>
            </w:tcMar>
            <w:vAlign w:val="bottom"/>
          </w:tcPr>
          <w:p>
            <w:pPr>
              <w:pStyle w:val="TableContents"/>
              <w:bidi w:val="0"/>
              <w:spacing w:before="0" w:after="283"/>
              <w:jc w:val="center"/>
              <w:rPr/>
            </w:pPr>
            <w:r>
              <w:rPr/>
              <w:t>50</w:t>
            </w:r>
          </w:p>
        </w:tc>
        <w:tc>
          <w:tcPr>
            <w:tcW w:w="201"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6139" w:type="dxa"/>
            <w:tcBorders>
              <w:bottom w:val="single" w:sz="2" w:space="0" w:color="000000"/>
            </w:tcBorders>
            <w:shd w:fill="CFF0FC" w:val="clear"/>
            <w:tcMar>
              <w:bottom w:w="60" w:type="dxa"/>
            </w:tcMar>
            <w:vAlign w:val="bottom"/>
          </w:tcPr>
          <w:p>
            <w:pPr>
              <w:pStyle w:val="TableContents"/>
              <w:bidi w:val="0"/>
              <w:spacing w:before="0" w:after="283"/>
              <w:jc w:val="left"/>
              <w:rPr/>
            </w:pPr>
            <w:r>
              <w:rPr/>
              <w:t>General Counsel and Secretary</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Angus Pacalas biography, see page 10 of this proxy statement. </w:t>
      </w:r>
    </w:p>
    <w:p>
      <w:pPr>
        <w:pStyle w:val="TextBody"/>
        <w:bidi w:val="0"/>
        <w:spacing w:before="240" w:after="0"/>
        <w:jc w:val="both"/>
        <w:rPr>
          <w:rFonts w:ascii="Times New Roman" w:hAnsi="Times New Roman"/>
          <w:sz w:val="20"/>
        </w:rPr>
      </w:pPr>
      <w:r>
        <w:rPr>
          <w:rFonts w:ascii="Times New Roman" w:hAnsi="Times New Roman"/>
          <w:b/>
          <w:i/>
          <w:sz w:val="20"/>
        </w:rPr>
        <w:t>Mark Frichtl</w:t>
      </w:r>
      <w:r>
        <w:rPr>
          <w:rFonts w:ascii="Times New Roman" w:hAnsi="Times New Roman"/>
          <w:sz w:val="20"/>
        </w:rPr>
        <w:t xml:space="preserve"> co-founded Ouster in June 2015 and has served as our Chief Technology Officer since then. 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 </w:t>
      </w:r>
    </w:p>
    <w:p>
      <w:pPr>
        <w:pStyle w:val="TextBody"/>
        <w:bidi w:val="0"/>
        <w:spacing w:before="240" w:after="0"/>
        <w:jc w:val="both"/>
        <w:rPr>
          <w:rFonts w:ascii="Times New Roman" w:hAnsi="Times New Roman"/>
          <w:sz w:val="20"/>
        </w:rPr>
      </w:pPr>
      <w:r>
        <w:rPr>
          <w:rFonts w:ascii="Times New Roman" w:hAnsi="Times New Roman"/>
          <w:b/>
          <w:i/>
          <w:sz w:val="20"/>
        </w:rPr>
        <w:t>Mark Weinswig</w:t>
      </w:r>
      <w:r>
        <w:rPr>
          <w:rFonts w:ascii="Times New Roman" w:hAnsi="Times New Roman"/>
          <w:sz w:val="20"/>
        </w:rPr>
        <w:t xml:space="preserve"> has served as our Chief Financial Officer since February 2023. Previously, Mr. Weinswig served as the Chief Financial Officer of Velodyne from May 2022 to December 2022. From 2018 through May 2022, Mr. Weinswig served as the Chief Financial Officer of Avinger, Inc., a Nasdaq-listed medical device company (Avinger). Prior to joining Avinger, Mr. Weinswig served as Chief Financial Officer at Aqua Metals, Inc., a Nasdaq-listed heavy metal recycling company, from August 2017 to March 2018. Mr. Weinswig has previously served as Chief Financial Officer of One Workplace, a designer and manufacturer of customized workspaces, from July 2016 to July 2017. From October 2010 to June 2016, Mr. Weinswig served as Chief Financial Officer of Emcore Corporation, a Nasdaq-listed designer and manufacturer of indium phosphide optical chips, components, subsystems and systems for the broadband and specialty fiber optics market. Earlier in his career Mr. Weinswig worked at Coherent, Inc., Avanex Corporation, which merged with Bookham Technology, Morgan Stanley and PricewaterhouseCoopers. He received an M.B.A. from the University of Santa Clara and a B.S. in business administration with an accounting major from Indiana University. He also holds the CFA (active) and CPA (inactive) designations. </w:t>
      </w:r>
    </w:p>
    <w:p>
      <w:pPr>
        <w:pStyle w:val="TextBody"/>
        <w:bidi w:val="0"/>
        <w:spacing w:before="240" w:after="0"/>
        <w:jc w:val="both"/>
        <w:rPr>
          <w:rFonts w:ascii="Times New Roman" w:hAnsi="Times New Roman"/>
          <w:sz w:val="20"/>
        </w:rPr>
      </w:pPr>
      <w:r>
        <w:rPr>
          <w:rFonts w:ascii="Times New Roman" w:hAnsi="Times New Roman"/>
          <w:b/>
          <w:i/>
          <w:sz w:val="20"/>
        </w:rPr>
        <w:t>Darien Spencer</w:t>
      </w:r>
      <w:r>
        <w:rPr>
          <w:rFonts w:ascii="Times New Roman" w:hAnsi="Times New Roman"/>
          <w:sz w:val="20"/>
        </w:rPr>
        <w:t xml:space="preserve"> has served as our Chief Operating Officer since February 2023. From July 2017 to January 2023, he served as our Executive Vice President of Global Operations. Previously, Mr. Spencer was Executive Vice President of Operations and Chief Procurement Officer at Enphase Energy, an energy technology company, from August 2013 to April 2017. Prior to joining Enphase Energy, Mr. Spencer was General Manager of Business Units and Automation at Jabil Circuit, a product solutions company, from August 2012 to August 2013. Mr. Spencer has previously served as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 </w:t>
      </w:r>
    </w:p>
    <w:p>
      <w:pPr>
        <w:pStyle w:val="TextBody"/>
        <w:bidi w:val="0"/>
        <w:spacing w:before="240" w:after="0"/>
        <w:jc w:val="both"/>
        <w:rPr>
          <w:rFonts w:ascii="Times New Roman" w:hAnsi="Times New Roman"/>
          <w:sz w:val="20"/>
        </w:rPr>
      </w:pPr>
      <w:r>
        <w:rPr>
          <w:rFonts w:ascii="Times New Roman" w:hAnsi="Times New Roman"/>
          <w:b/>
          <w:i/>
          <w:sz w:val="20"/>
        </w:rPr>
        <w:t>Megan Chung</w:t>
      </w:r>
      <w:r>
        <w:rPr>
          <w:rFonts w:ascii="Times New Roman" w:hAnsi="Times New Roman"/>
          <w:sz w:val="20"/>
        </w:rPr>
        <w:t xml:space="preserve"> has served as our General Counsel and Secretary since February 2023. Previously, Ms. Chung served as our Deputy General Counsel from July 2021 to February 2023. Prior to joining the Company, Ms. Chung served as a Partner at the law firm of Kilpatrick Townsend &amp; Stockton LLP from 2014 to July 2021, including as Office Managing Partner for the firms San Diego office from October 2019 to July 2021. Ms. Chungs practice focused on complex and technical intellectual property counseling, litigation, and portfolio management. Ms. Chung received her J.D. from the University of California, Davis School of Law and her B.A. and M.A. from Stanford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15" w:name="toc800696_13"/>
      <w:bookmarkEnd w:id="15"/>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bookmarkStart w:id="16" w:name="toc800696_14"/>
      <w:bookmarkEnd w:id="16"/>
      <w:r>
        <w:rPr>
          <w:rFonts w:ascii="Times New Roman" w:hAnsi="Times New Roman"/>
          <w:b/>
          <w:sz w:val="20"/>
        </w:rPr>
        <w:t xml:space="preserve">GENERAL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has adopted Corporate Governance Guidelines, a Code of Business Conduct and Ethics and charters for the Boards Nominating and Corporate Governance Committee, Audit Committee and Compensation Committee to assist the Board in the exercise of its responsibilities and to serve as a framework for the effective governance of Ouster. You can access our current committee charters, our Corporate Governance Guidelines and our Code of Business Conduct and Ethics in the Governance section under Governance Documents of our Investors website at </w:t>
      </w:r>
      <w:r>
        <w:rPr>
          <w:rFonts w:ascii="Times New Roman" w:hAnsi="Times New Roman"/>
          <w:i/>
          <w:sz w:val="20"/>
        </w:rPr>
        <w:t>investors.ouster.com</w:t>
      </w:r>
      <w:r>
        <w:rPr>
          <w:rFonts w:ascii="Times New Roman" w:hAnsi="Times New Roman"/>
          <w:sz w:val="20"/>
        </w:rPr>
        <w:t xml:space="preserve">, or by writing to our Secretary at our offices at 350 Treat Avenue, San Francisco, California 94110. </w:t>
      </w:r>
    </w:p>
    <w:p>
      <w:pPr>
        <w:pStyle w:val="TextBody"/>
        <w:bidi w:val="0"/>
        <w:spacing w:before="360" w:after="0"/>
        <w:jc w:val="left"/>
        <w:rPr>
          <w:rFonts w:ascii="Times New Roman" w:hAnsi="Times New Roman"/>
          <w:b/>
          <w:sz w:val="20"/>
        </w:rPr>
      </w:pPr>
      <w:bookmarkStart w:id="17" w:name="toc800696_15"/>
      <w:bookmarkEnd w:id="17"/>
      <w:r>
        <w:rPr>
          <w:rFonts w:ascii="Times New Roman" w:hAnsi="Times New Roman"/>
          <w:b/>
          <w:sz w:val="20"/>
        </w:rPr>
        <w:t xml:space="preserve">BOARD COMPOSITION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currently consists of eight (8) members: Virginia Boulet, Susan Heystee, Ernest E. Maddock, Angus Pacala, Karin Rådström, Kristin Slanina, Theodore L. Tewksbury, Ph.D., and Riaz Valani. Our Board is currently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2"/>
        <w:gridCol w:w="109"/>
        <w:gridCol w:w="3472"/>
        <w:gridCol w:w="120"/>
        <w:gridCol w:w="3142"/>
      </w:tblGrid>
      <w:tr>
        <w:trPr/>
        <w:tc>
          <w:tcPr>
            <w:tcW w:w="336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gridSpan w:val="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40" w:type="dxa"/>
              <w:right w:w="40" w:type="dxa"/>
            </w:tcMar>
            <w:vAlign w:val="center"/>
          </w:tcPr>
          <w:p>
            <w:pPr>
              <w:pStyle w:val="TableContents"/>
              <w:bidi w:val="0"/>
              <w:spacing w:before="0" w:after="283"/>
              <w:jc w:val="center"/>
              <w:rPr/>
            </w:pPr>
            <w:r>
              <w:rPr/>
              <w:t>Board Diversity Matrix (As of April 23, 2024)</w:t>
            </w:r>
          </w:p>
        </w:tc>
      </w:tr>
      <w:tr>
        <w:trPr>
          <w:trHeight w:val="30" w:hRule="atLeast"/>
        </w:trPr>
        <w:tc>
          <w:tcPr>
            <w:tcW w:w="336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843" w:type="dxa"/>
            <w:gridSpan w:val="4"/>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2" w:type="dxa"/>
            <w:tcBorders>
              <w:left w:val="single" w:sz="2" w:space="0" w:color="000000"/>
              <w:bottom w:val="single" w:sz="2" w:space="0" w:color="000000"/>
              <w:right w:val="single" w:sz="2" w:space="0" w:color="000000"/>
            </w:tcBorders>
            <w:tcMar>
              <w:left w:w="160" w:type="dxa"/>
              <w:bottom w:w="40" w:type="dxa"/>
              <w:right w:w="28" w:type="dxa"/>
            </w:tcMar>
            <w:vAlign w:val="center"/>
          </w:tcPr>
          <w:p>
            <w:pPr>
              <w:pStyle w:val="TableContents"/>
              <w:bidi w:val="0"/>
              <w:spacing w:before="0" w:after="0"/>
              <w:jc w:val="left"/>
              <w:rPr/>
            </w:pPr>
            <w:r>
              <w:rPr/>
              <w:t> </w:t>
            </w:r>
            <w:r>
              <w:rPr>
                <w:rFonts w:ascii="Times New Roman" w:hAnsi="Times New Roman"/>
                <w:sz w:val="16"/>
              </w:rPr>
              <w:t>Total number of directors</w:t>
            </w:r>
          </w:p>
        </w:tc>
        <w:tc>
          <w:tcPr>
            <w:tcW w:w="10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34" w:type="dxa"/>
            <w:gridSpan w:val="3"/>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8</w:t>
            </w:r>
          </w:p>
        </w:tc>
      </w:tr>
      <w:tr>
        <w:trPr>
          <w:trHeight w:val="30" w:hRule="atLeast"/>
        </w:trPr>
        <w:tc>
          <w:tcPr>
            <w:tcW w:w="336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58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2"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left"/>
              <w:rPr/>
            </w:pPr>
            <w:r>
              <w:rPr/>
              <w:t> </w:t>
            </w:r>
          </w:p>
        </w:tc>
        <w:tc>
          <w:tcPr>
            <w:tcW w:w="10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2"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Female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42" w:type="dxa"/>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Male</w:t>
            </w:r>
          </w:p>
        </w:tc>
      </w:tr>
      <w:tr>
        <w:trPr>
          <w:trHeight w:val="30" w:hRule="atLeast"/>
        </w:trPr>
        <w:tc>
          <w:tcPr>
            <w:tcW w:w="10205" w:type="dxa"/>
            <w:gridSpan w:val="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40" w:type="dxa"/>
              <w:right w:w="40" w:type="dxa"/>
            </w:tcMar>
            <w:vAlign w:val="center"/>
          </w:tcPr>
          <w:p>
            <w:pPr>
              <w:pStyle w:val="TableContents"/>
              <w:bidi w:val="0"/>
              <w:spacing w:before="0" w:after="0"/>
              <w:jc w:val="left"/>
              <w:rPr/>
            </w:pPr>
            <w:r>
              <w:rPr/>
              <w:t> </w:t>
            </w:r>
            <w:r>
              <w:rPr>
                <w:rFonts w:ascii="Times New Roman" w:hAnsi="Times New Roman"/>
                <w:sz w:val="16"/>
              </w:rPr>
              <w:t>Part I: Gender Identity</w:t>
            </w:r>
          </w:p>
        </w:tc>
      </w:tr>
      <w:tr>
        <w:trPr>
          <w:trHeight w:val="30" w:hRule="atLeast"/>
        </w:trPr>
        <w:tc>
          <w:tcPr>
            <w:tcW w:w="336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58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2" w:type="dxa"/>
            <w:tcBorders>
              <w:left w:val="single" w:sz="2" w:space="0" w:color="000000"/>
              <w:bottom w:val="single" w:sz="2" w:space="0" w:color="000000"/>
              <w:right w:val="single" w:sz="2" w:space="0" w:color="000000"/>
            </w:tcBorders>
            <w:tcMar>
              <w:left w:w="160" w:type="dxa"/>
              <w:bottom w:w="40" w:type="dxa"/>
              <w:right w:w="28" w:type="dxa"/>
            </w:tcMar>
            <w:vAlign w:val="center"/>
          </w:tcPr>
          <w:p>
            <w:pPr>
              <w:pStyle w:val="TableContents"/>
              <w:bidi w:val="0"/>
              <w:spacing w:before="0" w:after="0"/>
              <w:jc w:val="left"/>
              <w:rPr/>
            </w:pPr>
            <w:r>
              <w:rPr/>
              <w:t> </w:t>
            </w:r>
            <w:r>
              <w:rPr>
                <w:rFonts w:ascii="Times New Roman" w:hAnsi="Times New Roman"/>
                <w:sz w:val="16"/>
              </w:rPr>
              <w:t>Directors</w:t>
            </w:r>
          </w:p>
        </w:tc>
        <w:tc>
          <w:tcPr>
            <w:tcW w:w="10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2"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42" w:type="dxa"/>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4</w:t>
            </w:r>
          </w:p>
        </w:tc>
      </w:tr>
      <w:tr>
        <w:trPr>
          <w:trHeight w:val="30" w:hRule="atLeast"/>
        </w:trPr>
        <w:tc>
          <w:tcPr>
            <w:tcW w:w="10205" w:type="dxa"/>
            <w:gridSpan w:val="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40" w:type="dxa"/>
              <w:right w:w="40" w:type="dxa"/>
            </w:tcMar>
            <w:vAlign w:val="center"/>
          </w:tcPr>
          <w:p>
            <w:pPr>
              <w:pStyle w:val="TableContents"/>
              <w:bidi w:val="0"/>
              <w:spacing w:before="0" w:after="0"/>
              <w:jc w:val="left"/>
              <w:rPr/>
            </w:pPr>
            <w:r>
              <w:rPr/>
              <w:t> </w:t>
            </w:r>
            <w:r>
              <w:rPr>
                <w:rFonts w:ascii="Times New Roman" w:hAnsi="Times New Roman"/>
                <w:sz w:val="16"/>
              </w:rPr>
              <w:t>Part II: Demographic Background</w:t>
            </w:r>
          </w:p>
        </w:tc>
      </w:tr>
      <w:tr>
        <w:trPr>
          <w:trHeight w:val="30" w:hRule="atLeast"/>
        </w:trPr>
        <w:tc>
          <w:tcPr>
            <w:tcW w:w="336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58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2" w:type="dxa"/>
            <w:tcBorders>
              <w:left w:val="single" w:sz="2" w:space="0" w:color="000000"/>
              <w:bottom w:val="single" w:sz="2" w:space="0" w:color="000000"/>
              <w:right w:val="single" w:sz="2" w:space="0" w:color="000000"/>
            </w:tcBorders>
            <w:tcMar>
              <w:left w:w="160" w:type="dxa"/>
              <w:bottom w:w="40" w:type="dxa"/>
              <w:right w:w="28" w:type="dxa"/>
            </w:tcMar>
            <w:vAlign w:val="center"/>
          </w:tcPr>
          <w:p>
            <w:pPr>
              <w:pStyle w:val="TableContents"/>
              <w:bidi w:val="0"/>
              <w:spacing w:before="0" w:after="0"/>
              <w:jc w:val="left"/>
              <w:rPr/>
            </w:pPr>
            <w:r>
              <w:rPr/>
              <w:t> </w:t>
            </w:r>
            <w:r>
              <w:rPr>
                <w:rFonts w:ascii="Times New Roman" w:hAnsi="Times New Roman"/>
                <w:sz w:val="16"/>
              </w:rPr>
              <w:t>Asian</w:t>
            </w:r>
          </w:p>
        </w:tc>
        <w:tc>
          <w:tcPr>
            <w:tcW w:w="10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2"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42" w:type="dxa"/>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1</w:t>
            </w:r>
          </w:p>
        </w:tc>
      </w:tr>
      <w:tr>
        <w:trPr>
          <w:trHeight w:val="30" w:hRule="atLeast"/>
        </w:trPr>
        <w:tc>
          <w:tcPr>
            <w:tcW w:w="336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58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2" w:type="dxa"/>
            <w:tcBorders>
              <w:left w:val="single" w:sz="2" w:space="0" w:color="000000"/>
              <w:bottom w:val="single" w:sz="2" w:space="0" w:color="000000"/>
              <w:right w:val="single" w:sz="2" w:space="0" w:color="000000"/>
            </w:tcBorders>
            <w:tcMar>
              <w:left w:w="160" w:type="dxa"/>
              <w:bottom w:w="40" w:type="dxa"/>
              <w:right w:w="28" w:type="dxa"/>
            </w:tcMar>
            <w:vAlign w:val="center"/>
          </w:tcPr>
          <w:p>
            <w:pPr>
              <w:pStyle w:val="TableContents"/>
              <w:bidi w:val="0"/>
              <w:spacing w:before="0" w:after="0"/>
              <w:jc w:val="left"/>
              <w:rPr/>
            </w:pPr>
            <w:r>
              <w:rPr/>
              <w:t> </w:t>
            </w:r>
            <w:r>
              <w:rPr>
                <w:rFonts w:ascii="Times New Roman" w:hAnsi="Times New Roman"/>
                <w:sz w:val="16"/>
              </w:rPr>
              <w:t>Hispanic or Latinx</w:t>
            </w:r>
          </w:p>
        </w:tc>
        <w:tc>
          <w:tcPr>
            <w:tcW w:w="10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2"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42" w:type="dxa"/>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0</w:t>
            </w:r>
          </w:p>
        </w:tc>
      </w:tr>
      <w:tr>
        <w:trPr>
          <w:trHeight w:val="30" w:hRule="atLeast"/>
        </w:trPr>
        <w:tc>
          <w:tcPr>
            <w:tcW w:w="336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58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362" w:type="dxa"/>
            <w:tcBorders>
              <w:left w:val="single" w:sz="2" w:space="0" w:color="000000"/>
              <w:bottom w:val="single" w:sz="2" w:space="0" w:color="000000"/>
              <w:right w:val="single" w:sz="2" w:space="0" w:color="000000"/>
            </w:tcBorders>
            <w:tcMar>
              <w:left w:w="160" w:type="dxa"/>
              <w:bottom w:w="40" w:type="dxa"/>
              <w:right w:w="28" w:type="dxa"/>
            </w:tcMar>
            <w:vAlign w:val="center"/>
          </w:tcPr>
          <w:p>
            <w:pPr>
              <w:pStyle w:val="TableContents"/>
              <w:bidi w:val="0"/>
              <w:spacing w:before="0" w:after="0"/>
              <w:jc w:val="left"/>
              <w:rPr/>
            </w:pPr>
            <w:r>
              <w:rPr/>
              <w:t> </w:t>
            </w:r>
            <w:r>
              <w:rPr>
                <w:rFonts w:ascii="Times New Roman" w:hAnsi="Times New Roman"/>
                <w:sz w:val="16"/>
              </w:rPr>
              <w:t>White</w:t>
            </w:r>
          </w:p>
        </w:tc>
        <w:tc>
          <w:tcPr>
            <w:tcW w:w="10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2"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42" w:type="dxa"/>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3</w:t>
            </w:r>
          </w:p>
        </w:tc>
      </w:tr>
    </w:tbl>
    <w:p>
      <w:pPr>
        <w:pStyle w:val="TextBody"/>
        <w:bidi w:val="0"/>
        <w:spacing w:before="360" w:after="0"/>
        <w:jc w:val="left"/>
        <w:rPr>
          <w:rFonts w:ascii="Times New Roman" w:hAnsi="Times New Roman"/>
          <w:b/>
          <w:sz w:val="20"/>
        </w:rPr>
      </w:pPr>
      <w:bookmarkStart w:id="18" w:name="toc800696_16"/>
      <w:bookmarkEnd w:id="18"/>
      <w:r>
        <w:rPr>
          <w:rFonts w:ascii="Times New Roman" w:hAnsi="Times New Roman"/>
          <w:b/>
          <w:sz w:val="20"/>
        </w:rPr>
        <w:t xml:space="preserve">DIRECTOR INDEPENDENCE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has undertaken a review of the independence of our directors and considered whether any director has a material relationship with us that could compromise that directors ability to exercise independent judgment in carrying out that directors responsibilities. Our Board has affirmatively determined that Virginia Boulet, Susan Heystee, Ernest E. Maddock, Karin Rådström, Kristin Slanina, Theodore L. Tewksbury, Ph.D. and Riaz Valani are each an independent director, as defined under the rules of the New York Stock Exchange (the NYSE Rules). In making these determinations, our Board considered the current and prior relationships that each director has with our Company and all other facts and circumstances our Board deemed relevant in determining their independence.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is responsible for identifying and reviewing the qualifications of potential director candidates and recommending to the Board those candidates to be nominated for election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In connection with their initial election to our Board, Theodore L. Tewksbury was designated by Velodyne and Angus Pacala and Susan Heystee were designated by the Company pursuant to our merger agreement with Velodyne to serve on our Board.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our Corporate Governance Guidelines, in evaluating the suitability of individual candidates, the Nominating and Corporate Governance Committee may take into account many factors, including: personal and professional integrity; strong ethics and values; the ability to make mature business judgments; experience in corporate management, such as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and committee meetings; diversity of whether the board has appropriate diversity of experience, qualifications, skills, gender and age;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w:t>
      </w:r>
    </w:p>
    <w:p>
      <w:pPr>
        <w:pStyle w:val="TextBody"/>
        <w:bidi w:val="0"/>
        <w:spacing w:before="240" w:after="0"/>
        <w:jc w:val="both"/>
        <w:rPr>
          <w:rFonts w:ascii="Times New Roman" w:hAnsi="Times New Roman"/>
          <w:sz w:val="20"/>
        </w:rPr>
      </w:pPr>
      <w:r>
        <w:rPr>
          <w:rFonts w:ascii="Times New Roman" w:hAnsi="Times New Roman"/>
          <w:sz w:val="20"/>
        </w:rPr>
        <w:t xml:space="preserve">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Ouster, Inc., 350 Treat Avenue, San Francisco, California 94110.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w:t>
      </w:r>
    </w:p>
    <w:p>
      <w:pPr>
        <w:pStyle w:val="TextBody"/>
        <w:bidi w:val="0"/>
        <w:spacing w:before="360" w:after="0"/>
        <w:jc w:val="left"/>
        <w:rPr>
          <w:rFonts w:ascii="Times New Roman" w:hAnsi="Times New Roman"/>
          <w:b/>
          <w:sz w:val="20"/>
        </w:rPr>
      </w:pPr>
      <w:bookmarkStart w:id="19" w:name="toc800696_18"/>
      <w:bookmarkEnd w:id="19"/>
      <w:r>
        <w:rPr>
          <w:rFonts w:ascii="Times New Roman" w:hAnsi="Times New Roman"/>
          <w:b/>
          <w:sz w:val="20"/>
        </w:rPr>
        <w:t xml:space="preserve">COMMUNICATIONS BY INTERESTED PARTIES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Any Company stockholder or other interested party who desires to communicate with our Board of Directors, the Chair of our Board, the lead director, if any, any chairperson of a Board committee, or our non-management or independent members of the Board, may do so by addressing such communications to the intended recipient by name or position in care of: Ouster, Inc. to the attention of the General Counsel, 350 Treat Avenue, San Francisco, California 94110. </w:t>
      </w:r>
    </w:p>
    <w:p>
      <w:pPr>
        <w:pStyle w:val="TextBody"/>
        <w:bidi w:val="0"/>
        <w:spacing w:before="360" w:after="0"/>
        <w:jc w:val="left"/>
        <w:rPr>
          <w:rFonts w:ascii="Times New Roman" w:hAnsi="Times New Roman"/>
          <w:b/>
          <w:sz w:val="20"/>
        </w:rPr>
      </w:pPr>
      <w:bookmarkStart w:id="20" w:name="toc800696_19"/>
      <w:bookmarkEnd w:id="20"/>
      <w:r>
        <w:rPr>
          <w:rFonts w:ascii="Times New Roman" w:hAnsi="Times New Roman"/>
          <w:b/>
          <w:sz w:val="20"/>
        </w:rPr>
        <w:t xml:space="preserve">BOARD LEADERSHIP STRUCTURE AND ROLE IN RISK OVERSIGHT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Corporate Governance Guidelines provide the Board with flexibility to select our Chair of the Board, any Vice Chair of the Board and our Chief Executive Officer in any way the Board considers in the best interests of the Company. Therefore, the Board does not have a policy on whether the role of Chair and Chief Executive Officer should be separate or combined and, if it is to be separate, whether the Chair should be selected from the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Currently, the roles of Chair of the Board and Chief Executive Officer are separated. In addition, we currently have a Vice Chair of the Board. Our Board continues to believe that the separation of the positions of Chair of the Board and Chief Executive Officer, together with the role of Vice Chair, creates an environment that encourages objective oversight of managements performance and enhances the effectiveness of the Board as a whole. For these reasons, our Board has concluded that our current leadership structure is appropriate at this time. Our Board exercises its judgment in establishing, combining or separating the roles of Chair of the Board and Chief Executive Officer as it deems appropriate in light of prevailing circumstances.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 </w:t>
      </w:r>
    </w:p>
    <w:p>
      <w:pPr>
        <w:pStyle w:val="TextBody"/>
        <w:bidi w:val="0"/>
        <w:spacing w:before="240" w:after="0"/>
        <w:jc w:val="both"/>
        <w:rPr>
          <w:rFonts w:ascii="Times New Roman" w:hAnsi="Times New Roman"/>
          <w:sz w:val="20"/>
        </w:rPr>
      </w:pPr>
      <w:r>
        <w:rPr>
          <w:rFonts w:ascii="Times New Roman" w:hAnsi="Times New Roman"/>
          <w:sz w:val="20"/>
        </w:rPr>
        <w:t xml:space="preserve">If the Chair is a member of management or does not otherwise qualify as independent, the Independent Directors may elect a lead independent director. Presently, the Board has not appointed a lead independent director because the Chair is independent. From March 2023 until April 2024, Susan Heystee was appointed as lead independent director. If applicable, the lead independent directors responsibilities include, but are not limited to: presiding over all meetings of the Board at which the Chair and any Vice Chair of the Board is not present, including any executive sessions of the independent directors; approving Board meeting schedules and agendas; and acting as the liaison between the independent directors and the Chief Executive Officer and Chair of the Board. When the Chair of the Board is an independent director, the Chair of the Board serves as lead independent director. The Board may modify its leadership structure in the future as it deems appropriate. </w:t>
      </w:r>
    </w:p>
    <w:p>
      <w:pPr>
        <w:pStyle w:val="TextBody"/>
        <w:bidi w:val="0"/>
        <w:spacing w:before="240" w:after="0"/>
        <w:jc w:val="both"/>
        <w:rPr>
          <w:rFonts w:ascii="Times New Roman" w:hAnsi="Times New Roman"/>
          <w:sz w:val="20"/>
        </w:rPr>
      </w:pPr>
      <w:r>
        <w:rPr>
          <w:rFonts w:ascii="Times New Roman" w:hAnsi="Times New Roman"/>
          <w:sz w:val="20"/>
        </w:rPr>
        <w:t xml:space="preserve">Our Board has an active role, as a whole and also at the committee level, in overseeing the management of our risks. Our Board is responsible for general oversight of risks and regular review of information regarding our risks. The Audit Committee is responsible for discussing the Companys policies with respect to risk assessment and risk management, including guidelines and policies to govern the process by which the Companys exposure to risk is handled. The Audit Committee is also specifically responsible for overseeing the management of financial, cybersecurity and data privacy risks. For instance, during fiscal year 2023, the Audit Committee engaged in ongoing review of the measures taken by management to remediate the control deficiencies that led to the material weaknesses described in Item 9A of our Annual Report on Form 10-K for the fiscal year ended December 31, 2023. As previously disclosed, significant progress has been made in response to the material weaknesses, and the Audit Committee will continue to closely monitor managements remediation measures. The Compensation Committee is responsible for overseeing the management of risks relating to our executive compensation plans and arrangements. The Nominating and Corporate Governance Committee is responsible for overseeing the management of risks associated with the independence of our Board and other corporate governance matters. The Board does not believe that its role in the oversight of our risks affects the Boards leadership structure. </w:t>
      </w:r>
    </w:p>
    <w:p>
      <w:pPr>
        <w:pStyle w:val="TextBody"/>
        <w:bidi w:val="0"/>
        <w:spacing w:before="360" w:after="0"/>
        <w:jc w:val="left"/>
        <w:rPr>
          <w:rFonts w:ascii="Times New Roman" w:hAnsi="Times New Roman"/>
          <w:b/>
          <w:sz w:val="20"/>
        </w:rPr>
      </w:pPr>
      <w:bookmarkStart w:id="21" w:name="toc800696_20"/>
      <w:bookmarkEnd w:id="21"/>
      <w:r>
        <w:rPr>
          <w:rFonts w:ascii="Times New Roman" w:hAnsi="Times New Roman"/>
          <w:b/>
          <w:sz w:val="20"/>
        </w:rPr>
        <w:t xml:space="preserve">EXECUTIVE SESSIONS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non-management, independent members of the Board meet in regularly scheduled executive sessions. Theodore L. Tewksbury, as independent Chair of the Board, presides over such executive sessions. </w:t>
      </w:r>
    </w:p>
    <w:p>
      <w:pPr>
        <w:pStyle w:val="TextBody"/>
        <w:bidi w:val="0"/>
        <w:spacing w:before="360" w:after="0"/>
        <w:jc w:val="left"/>
        <w:rPr>
          <w:rFonts w:ascii="Times New Roman" w:hAnsi="Times New Roman"/>
          <w:b/>
          <w:sz w:val="20"/>
        </w:rPr>
      </w:pPr>
      <w:bookmarkStart w:id="22" w:name="toc800696_21"/>
      <w:bookmarkEnd w:id="22"/>
      <w:r>
        <w:rPr>
          <w:rFonts w:ascii="Times New Roman" w:hAnsi="Times New Roman"/>
          <w:b/>
          <w:sz w:val="20"/>
        </w:rPr>
        <w:t xml:space="preserve">ANTI-HEDGING POLICY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RECOVERY OF ERRONEOUSLY AWARDED COMPENSATION POLICY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Ouster has adopted a Recovery of Erroneously Awarded Compensation Policy, effective as of October 2, 2023, to comply with final SEC and NYSE rules that require the clawback of certain erroneously awarded compensation. In conformance with these rules, our policy requires the clawback by the Company of certain incentive-based compensation paid to current and former executive officers in the event that the Company is required to prepare an accounting restatement. </w:t>
      </w:r>
    </w:p>
    <w:p>
      <w:pPr>
        <w:pStyle w:val="TextBody"/>
        <w:bidi w:val="0"/>
        <w:spacing w:before="360" w:after="0"/>
        <w:jc w:val="left"/>
        <w:rPr>
          <w:rFonts w:ascii="Times New Roman" w:hAnsi="Times New Roman"/>
          <w:b/>
          <w:sz w:val="20"/>
        </w:rPr>
      </w:pPr>
      <w:bookmarkStart w:id="23" w:name="toc800696_22"/>
      <w:bookmarkEnd w:id="23"/>
      <w:r>
        <w:rPr>
          <w:rFonts w:ascii="Times New Roman" w:hAnsi="Times New Roman"/>
          <w:b/>
          <w:sz w:val="20"/>
        </w:rPr>
        <w:t xml:space="preserve">CODE OF BUSINESS CONDUCT AND ETHICS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on our Investors website at </w:t>
      </w:r>
      <w:r>
        <w:rPr>
          <w:rFonts w:ascii="Times New Roman" w:hAnsi="Times New Roman"/>
          <w:i/>
          <w:sz w:val="20"/>
        </w:rPr>
        <w:t>investors.ouster.com</w:t>
      </w:r>
      <w:r>
        <w:rPr>
          <w:rFonts w:ascii="Times New Roman" w:hAnsi="Times New Roman"/>
          <w:sz w:val="20"/>
        </w:rPr>
        <w:t xml:space="preserve"> in the Governance section. We expect that any amendments to the Code of Conduct, or any waivers of its requirements, that are required to be disclosed by SEC or NYSE Rules will be disclosed on our website. We granted no waivers under our Code of Conduct with respect to our executive officers or directors in fiscal 2023. </w:t>
      </w:r>
    </w:p>
    <w:p>
      <w:pPr>
        <w:pStyle w:val="TextBody"/>
        <w:bidi w:val="0"/>
        <w:spacing w:before="360" w:after="0"/>
        <w:jc w:val="left"/>
        <w:rPr>
          <w:rFonts w:ascii="Times New Roman" w:hAnsi="Times New Roman"/>
          <w:b/>
          <w:sz w:val="20"/>
        </w:rPr>
      </w:pPr>
      <w:bookmarkStart w:id="24" w:name="toc800696_23"/>
      <w:bookmarkEnd w:id="24"/>
      <w:r>
        <w:rPr>
          <w:rFonts w:ascii="Times New Roman" w:hAnsi="Times New Roman"/>
          <w:b/>
          <w:sz w:val="20"/>
        </w:rPr>
        <w:t xml:space="preserve">ATTENDANCE BY MEMBERS OF THE BOARD OF DIRECTORS AT MEETINGS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There were 10 meetings of the Board during the fiscal year ended December 31, 2023. During the fiscal year ended December 31, 2023, each incumbent director attended at least 75% of the aggregate of (i) all meetings of the Board during the period in which he or she served as a director and (ii) all meetings of the committees on which he or she served during the period in which he or she served as a director, except for Riaz Valani. Last year, all of our directors attended the 2023 annual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Under our Corporate Governance Guidelines, which are available on our website at </w:t>
      </w:r>
      <w:r>
        <w:rPr>
          <w:rFonts w:ascii="Times New Roman" w:hAnsi="Times New Roman"/>
          <w:i/>
          <w:sz w:val="20"/>
        </w:rPr>
        <w:t>www.ouster.com</w:t>
      </w:r>
      <w:r>
        <w:rPr>
          <w:rFonts w:ascii="Times New Roman" w:hAnsi="Times New Roman"/>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and the annual meeting of stockholders, with the understanding that, on occasion, a director may be unable to attend a meeting. All directors are expected to attend at least 75% of Board and applicable committee meetings. A director who is unable to attend a meeting of the Board or a committee of the Board is expected to notify the Chair of the Board or the Chair of the appropriate committee in advance of such meeting, and, whenever possible, participate in such meeting via teleconference in the case of an in-person meeting. </w:t>
      </w:r>
    </w:p>
    <w:p>
      <w:pPr>
        <w:pStyle w:val="TextBody"/>
        <w:bidi w:val="0"/>
        <w:spacing w:before="360" w:after="0"/>
        <w:jc w:val="left"/>
        <w:rPr>
          <w:rFonts w:ascii="Times New Roman" w:hAnsi="Times New Roman"/>
          <w:b/>
          <w:sz w:val="20"/>
        </w:rPr>
      </w:pPr>
      <w:bookmarkStart w:id="25" w:name="toc800696_24"/>
      <w:bookmarkEnd w:id="25"/>
      <w:r>
        <w:rPr>
          <w:rFonts w:ascii="Times New Roman" w:hAnsi="Times New Roman"/>
          <w:b/>
          <w:sz w:val="20"/>
        </w:rPr>
        <w:t xml:space="preserve">COMMITTEES OF THE BOARD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has established three standing committees: Audit, Compensation and Nominating and Corporate Governance  each of which operates pursuant to a written charter that has been approved by our Board specifically for each respective committee. </w:t>
      </w:r>
    </w:p>
    <w:p>
      <w:pPr>
        <w:pStyle w:val="TextBody"/>
        <w:bidi w:val="0"/>
        <w:spacing w:before="240" w:after="0"/>
        <w:jc w:val="both"/>
        <w:rPr>
          <w:rFonts w:ascii="Times New Roman" w:hAnsi="Times New Roman"/>
          <w:sz w:val="20"/>
        </w:rPr>
      </w:pPr>
      <w:r>
        <w:rPr>
          <w:rFonts w:ascii="Times New Roman" w:hAnsi="Times New Roman"/>
          <w:sz w:val="20"/>
        </w:rPr>
        <w:t xml:space="preserve">The members of each of the Board committees are set forth in the following chart: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35"/>
        <w:gridCol w:w="306"/>
        <w:gridCol w:w="605"/>
        <w:gridCol w:w="383"/>
        <w:gridCol w:w="1616"/>
        <w:gridCol w:w="692"/>
        <w:gridCol w:w="968"/>
      </w:tblGrid>
      <w:tr>
        <w:trPr/>
        <w:tc>
          <w:tcPr>
            <w:tcW w:w="563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5635" w:type="dxa"/>
            <w:tcBorders>
              <w:bottom w:val="single" w:sz="2" w:space="0" w:color="000000"/>
            </w:tcBorders>
            <w:tcMar>
              <w:bottom w:w="40" w:type="dxa"/>
            </w:tcMar>
            <w:vAlign w:val="bottom"/>
          </w:tcPr>
          <w:p>
            <w:pPr>
              <w:pStyle w:val="TableContents"/>
              <w:bidi w:val="0"/>
              <w:spacing w:before="0" w:after="283"/>
              <w:jc w:val="left"/>
              <w:rPr>
                <w:b/>
              </w:rPr>
            </w:pPr>
            <w:r>
              <w:rPr>
                <w:b/>
              </w:rPr>
              <w:t>Name</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605" w:type="dxa"/>
            <w:tcBorders>
              <w:bottom w:val="single" w:sz="2" w:space="0" w:color="000000"/>
            </w:tcBorders>
            <w:tcMar>
              <w:bottom w:w="40" w:type="dxa"/>
            </w:tcMar>
            <w:vAlign w:val="bottom"/>
          </w:tcPr>
          <w:p>
            <w:pPr>
              <w:pStyle w:val="TableContents"/>
              <w:bidi w:val="0"/>
              <w:spacing w:before="0" w:after="283"/>
              <w:jc w:val="center"/>
              <w:rPr>
                <w:b/>
              </w:rPr>
            </w:pPr>
            <w:r>
              <w:rPr>
                <w:b/>
              </w:rPr>
              <w:t>Audit</w:t>
            </w:r>
          </w:p>
        </w:tc>
        <w:tc>
          <w:tcPr>
            <w:tcW w:w="383" w:type="dxa"/>
            <w:tcBorders>
              <w:bottom w:val="single" w:sz="2" w:space="0" w:color="000000"/>
            </w:tcBorders>
            <w:tcMar>
              <w:bottom w:w="28" w:type="dxa"/>
            </w:tcMar>
            <w:vAlign w:val="bottom"/>
          </w:tcPr>
          <w:p>
            <w:pPr>
              <w:pStyle w:val="TableContents"/>
              <w:bidi w:val="0"/>
              <w:spacing w:before="0" w:after="283"/>
              <w:jc w:val="left"/>
              <w:rPr/>
            </w:pPr>
            <w:r>
              <w:rPr/>
              <w:t>  </w:t>
            </w:r>
          </w:p>
        </w:tc>
        <w:tc>
          <w:tcPr>
            <w:tcW w:w="1616" w:type="dxa"/>
            <w:tcBorders>
              <w:bottom w:val="single" w:sz="2" w:space="0" w:color="000000"/>
            </w:tcBorders>
            <w:tcMar>
              <w:bottom w:w="40" w:type="dxa"/>
            </w:tcMar>
            <w:vAlign w:val="bottom"/>
          </w:tcPr>
          <w:p>
            <w:pPr>
              <w:pStyle w:val="TableContents"/>
              <w:bidi w:val="0"/>
              <w:spacing w:before="0" w:after="283"/>
              <w:jc w:val="center"/>
              <w:rPr>
                <w:b/>
              </w:rPr>
            </w:pPr>
            <w:r>
              <w:rPr>
                <w:b/>
              </w:rPr>
              <w:t>Compensation</w:t>
            </w:r>
          </w:p>
        </w:tc>
        <w:tc>
          <w:tcPr>
            <w:tcW w:w="692" w:type="dxa"/>
            <w:tcBorders>
              <w:bottom w:val="single" w:sz="2" w:space="0" w:color="000000"/>
            </w:tcBorders>
            <w:tcMar>
              <w:bottom w:w="28" w:type="dxa"/>
            </w:tcMar>
            <w:vAlign w:val="bottom"/>
          </w:tcPr>
          <w:p>
            <w:pPr>
              <w:pStyle w:val="TableContents"/>
              <w:bidi w:val="0"/>
              <w:spacing w:before="0" w:after="283"/>
              <w:jc w:val="left"/>
              <w:rPr/>
            </w:pPr>
            <w:r>
              <w:rPr/>
              <w:t>  </w:t>
            </w:r>
          </w:p>
        </w:tc>
        <w:tc>
          <w:tcPr>
            <w:tcW w:w="968"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8"/>
              </w:rPr>
            </w:pPr>
            <w:r>
              <w:rPr>
                <w:rFonts w:ascii="Times New Roman" w:hAnsi="Times New Roman"/>
                <w:b/>
                <w:sz w:val="18"/>
              </w:rPr>
              <w:t>Nominating</w:t>
            </w:r>
          </w:p>
          <w:p>
            <w:pPr>
              <w:pStyle w:val="TableContents"/>
              <w:bidi w:val="0"/>
              <w:spacing w:before="0" w:after="0"/>
              <w:jc w:val="center"/>
              <w:rPr>
                <w:rFonts w:ascii="Times New Roman" w:hAnsi="Times New Roman"/>
                <w:b/>
                <w:sz w:val="18"/>
              </w:rPr>
            </w:pPr>
            <w:r>
              <w:rPr>
                <w:rFonts w:ascii="Times New Roman" w:hAnsi="Times New Roman"/>
                <w:b/>
                <w:sz w:val="18"/>
              </w:rPr>
              <w:t>and</w:t>
            </w:r>
          </w:p>
          <w:p>
            <w:pPr>
              <w:pStyle w:val="TableContents"/>
              <w:bidi w:val="0"/>
              <w:spacing w:before="0" w:after="0"/>
              <w:jc w:val="center"/>
              <w:rPr>
                <w:rFonts w:ascii="Times New Roman" w:hAnsi="Times New Roman"/>
                <w:b/>
                <w:sz w:val="18"/>
              </w:rPr>
            </w:pPr>
            <w:r>
              <w:rPr>
                <w:rFonts w:ascii="Times New Roman" w:hAnsi="Times New Roman"/>
                <w:b/>
                <w:sz w:val="18"/>
              </w:rPr>
              <w:t>Corporate</w:t>
            </w:r>
          </w:p>
          <w:p>
            <w:pPr>
              <w:pStyle w:val="TableContents"/>
              <w:bidi w:val="0"/>
              <w:spacing w:before="0" w:after="20"/>
              <w:jc w:val="center"/>
              <w:rPr>
                <w:rFonts w:ascii="Times New Roman" w:hAnsi="Times New Roman"/>
                <w:b/>
                <w:sz w:val="18"/>
              </w:rPr>
            </w:pPr>
            <w:r>
              <w:rPr>
                <w:rFonts w:ascii="Times New Roman" w:hAnsi="Times New Roman"/>
                <w:b/>
                <w:sz w:val="18"/>
              </w:rPr>
              <w:t>Governance</w:t>
            </w:r>
          </w:p>
        </w:tc>
      </w:tr>
      <w:tr>
        <w:trPr>
          <w:trHeight w:val="60" w:hRule="atLeast"/>
        </w:trPr>
        <w:tc>
          <w:tcPr>
            <w:tcW w:w="5635" w:type="dxa"/>
            <w:tcBorders/>
            <w:shd w:fill="CFF0FC" w:val="clear"/>
            <w:vAlign w:val="center"/>
          </w:tcPr>
          <w:p>
            <w:pPr>
              <w:pStyle w:val="TableContents"/>
              <w:bidi w:val="0"/>
              <w:spacing w:before="0" w:after="283"/>
              <w:jc w:val="left"/>
              <w:rPr>
                <w:sz w:val="4"/>
                <w:szCs w:val="4"/>
              </w:rPr>
            </w:pPr>
            <w:r>
              <w:rPr>
                <w:sz w:val="4"/>
                <w:szCs w:val="4"/>
              </w:rPr>
            </w:r>
          </w:p>
        </w:tc>
        <w:tc>
          <w:tcPr>
            <w:tcW w:w="911" w:type="dxa"/>
            <w:gridSpan w:val="2"/>
            <w:tcBorders/>
            <w:shd w:fill="CFF0FC" w:val="clear"/>
            <w:vAlign w:val="center"/>
          </w:tcPr>
          <w:p>
            <w:pPr>
              <w:pStyle w:val="TableContents"/>
              <w:bidi w:val="0"/>
              <w:spacing w:before="0" w:after="283"/>
              <w:jc w:val="left"/>
              <w:rPr>
                <w:sz w:val="4"/>
                <w:szCs w:val="4"/>
              </w:rPr>
            </w:pPr>
            <w:r>
              <w:rPr>
                <w:sz w:val="4"/>
                <w:szCs w:val="4"/>
              </w:rPr>
            </w:r>
          </w:p>
        </w:tc>
        <w:tc>
          <w:tcPr>
            <w:tcW w:w="1999" w:type="dxa"/>
            <w:gridSpan w:val="2"/>
            <w:tcBorders/>
            <w:shd w:fill="CFF0FC" w:val="clear"/>
            <w:vAlign w:val="center"/>
          </w:tcPr>
          <w:p>
            <w:pPr>
              <w:pStyle w:val="TableContents"/>
              <w:bidi w:val="0"/>
              <w:spacing w:before="0" w:after="283"/>
              <w:jc w:val="left"/>
              <w:rPr>
                <w:sz w:val="4"/>
                <w:szCs w:val="4"/>
              </w:rPr>
            </w:pPr>
            <w:r>
              <w:rPr>
                <w:sz w:val="4"/>
                <w:szCs w:val="4"/>
              </w:rPr>
            </w:r>
          </w:p>
        </w:tc>
        <w:tc>
          <w:tcPr>
            <w:tcW w:w="166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5635"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Virginia Boulet</w:t>
            </w:r>
          </w:p>
        </w:tc>
        <w:tc>
          <w:tcPr>
            <w:tcW w:w="306" w:type="dxa"/>
            <w:tcBorders/>
            <w:shd w:fill="CFF0FC" w:val="clear"/>
            <w:vAlign w:val="bottom"/>
          </w:tcPr>
          <w:p>
            <w:pPr>
              <w:pStyle w:val="TableContents"/>
              <w:bidi w:val="0"/>
              <w:spacing w:before="0" w:after="283"/>
              <w:jc w:val="left"/>
              <w:rPr/>
            </w:pPr>
            <w:r>
              <w:rPr/>
              <w:t>  </w:t>
            </w:r>
          </w:p>
        </w:tc>
        <w:tc>
          <w:tcPr>
            <w:tcW w:w="605" w:type="dxa"/>
            <w:tcBorders/>
            <w:shd w:fill="CFF0FC" w:val="clear"/>
            <w:vAlign w:val="bottom"/>
          </w:tcPr>
          <w:p>
            <w:pPr>
              <w:pStyle w:val="TableContents"/>
              <w:bidi w:val="0"/>
              <w:spacing w:before="0" w:after="283"/>
              <w:jc w:val="left"/>
              <w:rPr>
                <w:sz w:val="4"/>
                <w:szCs w:val="4"/>
              </w:rPr>
            </w:pPr>
            <w:r>
              <w:rPr>
                <w:sz w:val="4"/>
                <w:szCs w:val="4"/>
              </w:rPr>
            </w:r>
          </w:p>
        </w:tc>
        <w:tc>
          <w:tcPr>
            <w:tcW w:w="383" w:type="dxa"/>
            <w:tcBorders/>
            <w:shd w:fill="CFF0FC" w:val="clear"/>
            <w:vAlign w:val="bottom"/>
          </w:tcPr>
          <w:p>
            <w:pPr>
              <w:pStyle w:val="TableContents"/>
              <w:bidi w:val="0"/>
              <w:spacing w:before="0" w:after="283"/>
              <w:jc w:val="left"/>
              <w:rPr/>
            </w:pPr>
            <w:r>
              <w:rPr/>
              <w:t>  </w:t>
            </w:r>
          </w:p>
        </w:tc>
        <w:tc>
          <w:tcPr>
            <w:tcW w:w="1616" w:type="dxa"/>
            <w:tcBorders/>
            <w:shd w:fill="CFF0FC" w:val="clear"/>
            <w:vAlign w:val="bottom"/>
          </w:tcPr>
          <w:p>
            <w:pPr>
              <w:pStyle w:val="TableContents"/>
              <w:bidi w:val="0"/>
              <w:spacing w:before="0" w:after="283"/>
              <w:jc w:val="left"/>
              <w:rPr>
                <w:sz w:val="4"/>
                <w:szCs w:val="4"/>
              </w:rPr>
            </w:pPr>
            <w:r>
              <w:rPr>
                <w:sz w:val="4"/>
                <w:szCs w:val="4"/>
              </w:rPr>
            </w:r>
          </w:p>
        </w:tc>
        <w:tc>
          <w:tcPr>
            <w:tcW w:w="692" w:type="dxa"/>
            <w:tcBorders/>
            <w:shd w:fill="CFF0FC" w:val="clear"/>
            <w:vAlign w:val="bottom"/>
          </w:tcPr>
          <w:p>
            <w:pPr>
              <w:pStyle w:val="TableContents"/>
              <w:bidi w:val="0"/>
              <w:spacing w:before="0" w:after="283"/>
              <w:jc w:val="left"/>
              <w:rPr/>
            </w:pPr>
            <w:r>
              <w:rPr/>
              <w:t>  </w:t>
            </w:r>
          </w:p>
        </w:tc>
        <w:tc>
          <w:tcPr>
            <w:tcW w:w="968" w:type="dxa"/>
            <w:tcBorders/>
            <w:shd w:fill="CFF0FC" w:val="clear"/>
            <w:vAlign w:val="bottom"/>
          </w:tcPr>
          <w:p>
            <w:pPr>
              <w:pStyle w:val="TableContents"/>
              <w:bidi w:val="0"/>
              <w:spacing w:before="0" w:after="283"/>
              <w:jc w:val="center"/>
              <w:rPr/>
            </w:pPr>
            <w:r>
              <w:rPr/>
              <w:t>Chair</w:t>
            </w:r>
          </w:p>
        </w:tc>
      </w:tr>
      <w:tr>
        <w:trPr>
          <w:trHeight w:val="60" w:hRule="atLeast"/>
        </w:trPr>
        <w:tc>
          <w:tcPr>
            <w:tcW w:w="5635" w:type="dxa"/>
            <w:tcBorders/>
            <w:vAlign w:val="center"/>
          </w:tcPr>
          <w:p>
            <w:pPr>
              <w:pStyle w:val="TableContents"/>
              <w:bidi w:val="0"/>
              <w:spacing w:before="0" w:after="283"/>
              <w:jc w:val="left"/>
              <w:rPr>
                <w:sz w:val="4"/>
                <w:szCs w:val="4"/>
              </w:rPr>
            </w:pPr>
            <w:r>
              <w:rPr>
                <w:sz w:val="4"/>
                <w:szCs w:val="4"/>
              </w:rPr>
            </w:r>
          </w:p>
        </w:tc>
        <w:tc>
          <w:tcPr>
            <w:tcW w:w="91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c>
          <w:tcPr>
            <w:tcW w:w="1660" w:type="dxa"/>
            <w:gridSpan w:val="2"/>
            <w:tcBorders/>
            <w:vAlign w:val="center"/>
          </w:tcPr>
          <w:p>
            <w:pPr>
              <w:pStyle w:val="TableContents"/>
              <w:bidi w:val="0"/>
              <w:spacing w:before="0" w:after="283"/>
              <w:jc w:val="left"/>
              <w:rPr>
                <w:sz w:val="4"/>
                <w:szCs w:val="4"/>
              </w:rPr>
            </w:pPr>
            <w:r>
              <w:rPr>
                <w:sz w:val="4"/>
                <w:szCs w:val="4"/>
              </w:rPr>
            </w:r>
          </w:p>
        </w:tc>
      </w:tr>
      <w:tr>
        <w:trPr/>
        <w:tc>
          <w:tcPr>
            <w:tcW w:w="5635" w:type="dxa"/>
            <w:tcBorders/>
          </w:tcPr>
          <w:p>
            <w:pPr>
              <w:pStyle w:val="TableContents"/>
              <w:bidi w:val="0"/>
              <w:spacing w:before="0" w:after="0"/>
              <w:jc w:val="left"/>
              <w:rPr>
                <w:rFonts w:ascii="Times New Roman" w:hAnsi="Times New Roman"/>
                <w:sz w:val="16"/>
              </w:rPr>
            </w:pPr>
            <w:r>
              <w:rPr>
                <w:rFonts w:ascii="Times New Roman" w:hAnsi="Times New Roman"/>
                <w:b/>
                <w:sz w:val="16"/>
              </w:rPr>
              <w:t>Susan Heystee (</w:t>
            </w:r>
            <w:r>
              <w:rPr>
                <w:rFonts w:ascii="Times New Roman" w:hAnsi="Times New Roman"/>
                <w:b/>
                <w:i/>
                <w:sz w:val="16"/>
              </w:rPr>
              <w:t>Vice Chair of the Board</w:t>
            </w:r>
            <w:r>
              <w:rPr>
                <w:rFonts w:ascii="Times New Roman" w:hAnsi="Times New Roman"/>
                <w:b/>
                <w:sz w:val="16"/>
              </w:rPr>
              <w:t>)</w:t>
            </w:r>
          </w:p>
        </w:tc>
        <w:tc>
          <w:tcPr>
            <w:tcW w:w="30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center"/>
              <w:rPr/>
            </w:pPr>
            <w:r>
              <w:rPr/>
              <w:t>X</w:t>
            </w:r>
          </w:p>
        </w:tc>
        <w:tc>
          <w:tcPr>
            <w:tcW w:w="383" w:type="dxa"/>
            <w:tcBorders/>
            <w:vAlign w:val="bottom"/>
          </w:tcPr>
          <w:p>
            <w:pPr>
              <w:pStyle w:val="TableContents"/>
              <w:bidi w:val="0"/>
              <w:spacing w:before="0" w:after="283"/>
              <w:jc w:val="left"/>
              <w:rPr/>
            </w:pPr>
            <w:r>
              <w:rPr/>
              <w:t>  </w:t>
            </w:r>
          </w:p>
        </w:tc>
        <w:tc>
          <w:tcPr>
            <w:tcW w:w="1616" w:type="dxa"/>
            <w:tcBorders/>
            <w:vAlign w:val="bottom"/>
          </w:tcPr>
          <w:p>
            <w:pPr>
              <w:pStyle w:val="TableContents"/>
              <w:bidi w:val="0"/>
              <w:spacing w:before="0" w:after="283"/>
              <w:jc w:val="center"/>
              <w:rPr/>
            </w:pPr>
            <w:r>
              <w:rPr/>
              <w:t>Chair</w:t>
            </w:r>
          </w:p>
        </w:tc>
        <w:tc>
          <w:tcPr>
            <w:tcW w:w="69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635" w:type="dxa"/>
            <w:tcBorders/>
            <w:shd w:fill="CFF0FC" w:val="clear"/>
            <w:vAlign w:val="center"/>
          </w:tcPr>
          <w:p>
            <w:pPr>
              <w:pStyle w:val="TableContents"/>
              <w:bidi w:val="0"/>
              <w:spacing w:before="0" w:after="283"/>
              <w:jc w:val="left"/>
              <w:rPr>
                <w:sz w:val="4"/>
                <w:szCs w:val="4"/>
              </w:rPr>
            </w:pPr>
            <w:r>
              <w:rPr>
                <w:sz w:val="4"/>
                <w:szCs w:val="4"/>
              </w:rPr>
            </w:r>
          </w:p>
        </w:tc>
        <w:tc>
          <w:tcPr>
            <w:tcW w:w="911" w:type="dxa"/>
            <w:gridSpan w:val="2"/>
            <w:tcBorders/>
            <w:shd w:fill="CFF0FC" w:val="clear"/>
            <w:vAlign w:val="center"/>
          </w:tcPr>
          <w:p>
            <w:pPr>
              <w:pStyle w:val="TableContents"/>
              <w:bidi w:val="0"/>
              <w:spacing w:before="0" w:after="283"/>
              <w:jc w:val="left"/>
              <w:rPr>
                <w:sz w:val="4"/>
                <w:szCs w:val="4"/>
              </w:rPr>
            </w:pPr>
            <w:r>
              <w:rPr>
                <w:sz w:val="4"/>
                <w:szCs w:val="4"/>
              </w:rPr>
            </w:r>
          </w:p>
        </w:tc>
        <w:tc>
          <w:tcPr>
            <w:tcW w:w="1999" w:type="dxa"/>
            <w:gridSpan w:val="2"/>
            <w:tcBorders/>
            <w:shd w:fill="CFF0FC" w:val="clear"/>
            <w:vAlign w:val="center"/>
          </w:tcPr>
          <w:p>
            <w:pPr>
              <w:pStyle w:val="TableContents"/>
              <w:bidi w:val="0"/>
              <w:spacing w:before="0" w:after="283"/>
              <w:jc w:val="left"/>
              <w:rPr>
                <w:sz w:val="4"/>
                <w:szCs w:val="4"/>
              </w:rPr>
            </w:pPr>
            <w:r>
              <w:rPr>
                <w:sz w:val="4"/>
                <w:szCs w:val="4"/>
              </w:rPr>
            </w:r>
          </w:p>
        </w:tc>
        <w:tc>
          <w:tcPr>
            <w:tcW w:w="166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5635"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Ernest E. Maddock</w:t>
            </w:r>
          </w:p>
        </w:tc>
        <w:tc>
          <w:tcPr>
            <w:tcW w:w="306" w:type="dxa"/>
            <w:tcBorders/>
            <w:shd w:fill="CFF0FC" w:val="clear"/>
            <w:vAlign w:val="bottom"/>
          </w:tcPr>
          <w:p>
            <w:pPr>
              <w:pStyle w:val="TableContents"/>
              <w:bidi w:val="0"/>
              <w:spacing w:before="0" w:after="283"/>
              <w:jc w:val="left"/>
              <w:rPr/>
            </w:pPr>
            <w:r>
              <w:rPr/>
              <w:t>  </w:t>
            </w:r>
          </w:p>
        </w:tc>
        <w:tc>
          <w:tcPr>
            <w:tcW w:w="605" w:type="dxa"/>
            <w:tcBorders/>
            <w:shd w:fill="CFF0FC" w:val="clear"/>
            <w:vAlign w:val="bottom"/>
          </w:tcPr>
          <w:p>
            <w:pPr>
              <w:pStyle w:val="TableContents"/>
              <w:bidi w:val="0"/>
              <w:spacing w:before="0" w:after="283"/>
              <w:jc w:val="center"/>
              <w:rPr/>
            </w:pPr>
            <w:r>
              <w:rPr/>
              <w:t>Chair</w:t>
            </w:r>
          </w:p>
        </w:tc>
        <w:tc>
          <w:tcPr>
            <w:tcW w:w="383" w:type="dxa"/>
            <w:tcBorders/>
            <w:shd w:fill="CFF0FC" w:val="clear"/>
            <w:vAlign w:val="bottom"/>
          </w:tcPr>
          <w:p>
            <w:pPr>
              <w:pStyle w:val="TableContents"/>
              <w:bidi w:val="0"/>
              <w:spacing w:before="0" w:after="283"/>
              <w:jc w:val="left"/>
              <w:rPr/>
            </w:pPr>
            <w:r>
              <w:rPr/>
              <w:t>  </w:t>
            </w:r>
          </w:p>
        </w:tc>
        <w:tc>
          <w:tcPr>
            <w:tcW w:w="1616" w:type="dxa"/>
            <w:tcBorders/>
            <w:shd w:fill="CFF0FC" w:val="clear"/>
            <w:vAlign w:val="bottom"/>
          </w:tcPr>
          <w:p>
            <w:pPr>
              <w:pStyle w:val="TableContents"/>
              <w:bidi w:val="0"/>
              <w:spacing w:before="0" w:after="283"/>
              <w:jc w:val="center"/>
              <w:rPr/>
            </w:pPr>
            <w:r>
              <w:rPr/>
              <w:t>X</w:t>
            </w:r>
          </w:p>
        </w:tc>
        <w:tc>
          <w:tcPr>
            <w:tcW w:w="692" w:type="dxa"/>
            <w:tcBorders/>
            <w:shd w:fill="CFF0FC" w:val="clear"/>
            <w:vAlign w:val="bottom"/>
          </w:tcPr>
          <w:p>
            <w:pPr>
              <w:pStyle w:val="TableContents"/>
              <w:bidi w:val="0"/>
              <w:spacing w:before="0" w:after="283"/>
              <w:jc w:val="left"/>
              <w:rPr/>
            </w:pPr>
            <w:r>
              <w:rPr/>
              <w:t>  </w:t>
            </w:r>
          </w:p>
        </w:tc>
        <w:tc>
          <w:tcPr>
            <w:tcW w:w="968"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635" w:type="dxa"/>
            <w:tcBorders/>
            <w:vAlign w:val="center"/>
          </w:tcPr>
          <w:p>
            <w:pPr>
              <w:pStyle w:val="TableContents"/>
              <w:bidi w:val="0"/>
              <w:spacing w:before="0" w:after="283"/>
              <w:jc w:val="left"/>
              <w:rPr>
                <w:sz w:val="4"/>
                <w:szCs w:val="4"/>
              </w:rPr>
            </w:pPr>
            <w:r>
              <w:rPr>
                <w:sz w:val="4"/>
                <w:szCs w:val="4"/>
              </w:rPr>
            </w:r>
          </w:p>
        </w:tc>
        <w:tc>
          <w:tcPr>
            <w:tcW w:w="91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c>
          <w:tcPr>
            <w:tcW w:w="1660" w:type="dxa"/>
            <w:gridSpan w:val="2"/>
            <w:tcBorders/>
            <w:vAlign w:val="center"/>
          </w:tcPr>
          <w:p>
            <w:pPr>
              <w:pStyle w:val="TableContents"/>
              <w:bidi w:val="0"/>
              <w:spacing w:before="0" w:after="283"/>
              <w:jc w:val="left"/>
              <w:rPr>
                <w:sz w:val="4"/>
                <w:szCs w:val="4"/>
              </w:rPr>
            </w:pPr>
            <w:r>
              <w:rPr>
                <w:sz w:val="4"/>
                <w:szCs w:val="4"/>
              </w:rPr>
            </w:r>
          </w:p>
        </w:tc>
      </w:tr>
      <w:tr>
        <w:trPr/>
        <w:tc>
          <w:tcPr>
            <w:tcW w:w="5635" w:type="dxa"/>
            <w:tcBorders/>
          </w:tcPr>
          <w:p>
            <w:pPr>
              <w:pStyle w:val="TableContents"/>
              <w:bidi w:val="0"/>
              <w:spacing w:before="0" w:after="0"/>
              <w:jc w:val="left"/>
              <w:rPr>
                <w:rFonts w:ascii="Times New Roman" w:hAnsi="Times New Roman"/>
                <w:b/>
                <w:sz w:val="16"/>
              </w:rPr>
            </w:pPr>
            <w:r>
              <w:rPr>
                <w:rFonts w:ascii="Times New Roman" w:hAnsi="Times New Roman"/>
                <w:b/>
                <w:sz w:val="16"/>
              </w:rPr>
              <w:t>Karin Rådström</w:t>
            </w:r>
          </w:p>
        </w:tc>
        <w:tc>
          <w:tcPr>
            <w:tcW w:w="30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616"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center"/>
              <w:rPr/>
            </w:pPr>
            <w:r>
              <w:rPr/>
              <w:t>X</w:t>
            </w:r>
          </w:p>
        </w:tc>
      </w:tr>
      <w:tr>
        <w:trPr>
          <w:trHeight w:val="60" w:hRule="atLeast"/>
        </w:trPr>
        <w:tc>
          <w:tcPr>
            <w:tcW w:w="5635" w:type="dxa"/>
            <w:tcBorders/>
            <w:shd w:fill="CFF0FC" w:val="clear"/>
            <w:vAlign w:val="center"/>
          </w:tcPr>
          <w:p>
            <w:pPr>
              <w:pStyle w:val="TableContents"/>
              <w:bidi w:val="0"/>
              <w:spacing w:before="0" w:after="283"/>
              <w:jc w:val="left"/>
              <w:rPr>
                <w:sz w:val="4"/>
                <w:szCs w:val="4"/>
              </w:rPr>
            </w:pPr>
            <w:r>
              <w:rPr>
                <w:sz w:val="4"/>
                <w:szCs w:val="4"/>
              </w:rPr>
            </w:r>
          </w:p>
        </w:tc>
        <w:tc>
          <w:tcPr>
            <w:tcW w:w="911" w:type="dxa"/>
            <w:gridSpan w:val="2"/>
            <w:tcBorders/>
            <w:shd w:fill="CFF0FC" w:val="clear"/>
            <w:vAlign w:val="center"/>
          </w:tcPr>
          <w:p>
            <w:pPr>
              <w:pStyle w:val="TableContents"/>
              <w:bidi w:val="0"/>
              <w:spacing w:before="0" w:after="283"/>
              <w:jc w:val="left"/>
              <w:rPr>
                <w:sz w:val="4"/>
                <w:szCs w:val="4"/>
              </w:rPr>
            </w:pPr>
            <w:r>
              <w:rPr>
                <w:sz w:val="4"/>
                <w:szCs w:val="4"/>
              </w:rPr>
            </w:r>
          </w:p>
        </w:tc>
        <w:tc>
          <w:tcPr>
            <w:tcW w:w="1999" w:type="dxa"/>
            <w:gridSpan w:val="2"/>
            <w:tcBorders/>
            <w:shd w:fill="CFF0FC" w:val="clear"/>
            <w:vAlign w:val="center"/>
          </w:tcPr>
          <w:p>
            <w:pPr>
              <w:pStyle w:val="TableContents"/>
              <w:bidi w:val="0"/>
              <w:spacing w:before="0" w:after="283"/>
              <w:jc w:val="left"/>
              <w:rPr>
                <w:sz w:val="4"/>
                <w:szCs w:val="4"/>
              </w:rPr>
            </w:pPr>
            <w:r>
              <w:rPr>
                <w:sz w:val="4"/>
                <w:szCs w:val="4"/>
              </w:rPr>
            </w:r>
          </w:p>
        </w:tc>
        <w:tc>
          <w:tcPr>
            <w:tcW w:w="166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5635"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Kristin Slanina</w:t>
            </w:r>
          </w:p>
        </w:tc>
        <w:tc>
          <w:tcPr>
            <w:tcW w:w="306" w:type="dxa"/>
            <w:tcBorders/>
            <w:shd w:fill="CFF0FC" w:val="clear"/>
            <w:vAlign w:val="bottom"/>
          </w:tcPr>
          <w:p>
            <w:pPr>
              <w:pStyle w:val="TableContents"/>
              <w:bidi w:val="0"/>
              <w:spacing w:before="0" w:after="283"/>
              <w:jc w:val="left"/>
              <w:rPr/>
            </w:pPr>
            <w:r>
              <w:rPr/>
              <w:t>  </w:t>
            </w:r>
          </w:p>
        </w:tc>
        <w:tc>
          <w:tcPr>
            <w:tcW w:w="605" w:type="dxa"/>
            <w:tcBorders/>
            <w:shd w:fill="CFF0FC" w:val="clear"/>
            <w:vAlign w:val="bottom"/>
          </w:tcPr>
          <w:p>
            <w:pPr>
              <w:pStyle w:val="TableContents"/>
              <w:bidi w:val="0"/>
              <w:spacing w:before="0" w:after="283"/>
              <w:jc w:val="center"/>
              <w:rPr/>
            </w:pPr>
            <w:r>
              <w:rPr/>
              <w:t>X</w:t>
            </w:r>
          </w:p>
        </w:tc>
        <w:tc>
          <w:tcPr>
            <w:tcW w:w="383" w:type="dxa"/>
            <w:tcBorders/>
            <w:shd w:fill="CFF0FC" w:val="clear"/>
            <w:vAlign w:val="bottom"/>
          </w:tcPr>
          <w:p>
            <w:pPr>
              <w:pStyle w:val="TableContents"/>
              <w:bidi w:val="0"/>
              <w:spacing w:before="0" w:after="283"/>
              <w:jc w:val="left"/>
              <w:rPr/>
            </w:pPr>
            <w:r>
              <w:rPr/>
              <w:t>  </w:t>
            </w:r>
          </w:p>
        </w:tc>
        <w:tc>
          <w:tcPr>
            <w:tcW w:w="1616" w:type="dxa"/>
            <w:tcBorders/>
            <w:shd w:fill="CFF0FC" w:val="clear"/>
            <w:vAlign w:val="bottom"/>
          </w:tcPr>
          <w:p>
            <w:pPr>
              <w:pStyle w:val="TableContents"/>
              <w:bidi w:val="0"/>
              <w:spacing w:before="0" w:after="283"/>
              <w:jc w:val="center"/>
              <w:rPr/>
            </w:pPr>
            <w:r>
              <w:rPr/>
              <w:t>X</w:t>
            </w:r>
          </w:p>
        </w:tc>
        <w:tc>
          <w:tcPr>
            <w:tcW w:w="692" w:type="dxa"/>
            <w:tcBorders/>
            <w:shd w:fill="CFF0FC" w:val="clear"/>
            <w:vAlign w:val="bottom"/>
          </w:tcPr>
          <w:p>
            <w:pPr>
              <w:pStyle w:val="TableContents"/>
              <w:bidi w:val="0"/>
              <w:spacing w:before="0" w:after="283"/>
              <w:jc w:val="left"/>
              <w:rPr/>
            </w:pPr>
            <w:r>
              <w:rPr/>
              <w:t>  </w:t>
            </w:r>
          </w:p>
        </w:tc>
        <w:tc>
          <w:tcPr>
            <w:tcW w:w="968"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5635" w:type="dxa"/>
            <w:tcBorders/>
            <w:vAlign w:val="center"/>
          </w:tcPr>
          <w:p>
            <w:pPr>
              <w:pStyle w:val="TableContents"/>
              <w:bidi w:val="0"/>
              <w:spacing w:before="0" w:after="283"/>
              <w:jc w:val="left"/>
              <w:rPr>
                <w:sz w:val="4"/>
                <w:szCs w:val="4"/>
              </w:rPr>
            </w:pPr>
            <w:r>
              <w:rPr>
                <w:sz w:val="4"/>
                <w:szCs w:val="4"/>
              </w:rPr>
            </w:r>
          </w:p>
        </w:tc>
        <w:tc>
          <w:tcPr>
            <w:tcW w:w="911" w:type="dxa"/>
            <w:gridSpan w:val="2"/>
            <w:tcBorders/>
            <w:vAlign w:val="center"/>
          </w:tcPr>
          <w:p>
            <w:pPr>
              <w:pStyle w:val="TableContents"/>
              <w:bidi w:val="0"/>
              <w:spacing w:before="0" w:after="283"/>
              <w:jc w:val="left"/>
              <w:rPr>
                <w:sz w:val="4"/>
                <w:szCs w:val="4"/>
              </w:rPr>
            </w:pPr>
            <w:r>
              <w:rPr>
                <w:sz w:val="4"/>
                <w:szCs w:val="4"/>
              </w:rPr>
            </w:r>
          </w:p>
        </w:tc>
        <w:tc>
          <w:tcPr>
            <w:tcW w:w="1999" w:type="dxa"/>
            <w:gridSpan w:val="2"/>
            <w:tcBorders/>
            <w:vAlign w:val="center"/>
          </w:tcPr>
          <w:p>
            <w:pPr>
              <w:pStyle w:val="TableContents"/>
              <w:bidi w:val="0"/>
              <w:spacing w:before="0" w:after="283"/>
              <w:jc w:val="left"/>
              <w:rPr>
                <w:sz w:val="4"/>
                <w:szCs w:val="4"/>
              </w:rPr>
            </w:pPr>
            <w:r>
              <w:rPr>
                <w:sz w:val="4"/>
                <w:szCs w:val="4"/>
              </w:rPr>
            </w:r>
          </w:p>
        </w:tc>
        <w:tc>
          <w:tcPr>
            <w:tcW w:w="1660" w:type="dxa"/>
            <w:gridSpan w:val="2"/>
            <w:tcBorders/>
            <w:vAlign w:val="center"/>
          </w:tcPr>
          <w:p>
            <w:pPr>
              <w:pStyle w:val="TableContents"/>
              <w:bidi w:val="0"/>
              <w:spacing w:before="0" w:after="283"/>
              <w:jc w:val="left"/>
              <w:rPr>
                <w:sz w:val="4"/>
                <w:szCs w:val="4"/>
              </w:rPr>
            </w:pPr>
            <w:r>
              <w:rPr>
                <w:sz w:val="4"/>
                <w:szCs w:val="4"/>
              </w:rPr>
            </w:r>
          </w:p>
        </w:tc>
      </w:tr>
      <w:tr>
        <w:trPr/>
        <w:tc>
          <w:tcPr>
            <w:tcW w:w="5635" w:type="dxa"/>
            <w:tcBorders/>
          </w:tcPr>
          <w:p>
            <w:pPr>
              <w:pStyle w:val="TableContents"/>
              <w:bidi w:val="0"/>
              <w:spacing w:before="0" w:after="0"/>
              <w:jc w:val="left"/>
              <w:rPr>
                <w:rFonts w:ascii="Times New Roman" w:hAnsi="Times New Roman"/>
                <w:sz w:val="16"/>
              </w:rPr>
            </w:pPr>
            <w:r>
              <w:rPr>
                <w:rFonts w:ascii="Times New Roman" w:hAnsi="Times New Roman"/>
                <w:b/>
                <w:sz w:val="16"/>
              </w:rPr>
              <w:t>Theodore L. Tewksbury, Ph.D. (</w:t>
            </w:r>
            <w:r>
              <w:rPr>
                <w:rFonts w:ascii="Times New Roman" w:hAnsi="Times New Roman"/>
                <w:b/>
                <w:i/>
                <w:sz w:val="16"/>
              </w:rPr>
              <w:t>Chair of the Board</w:t>
            </w:r>
            <w:r>
              <w:rPr>
                <w:rFonts w:ascii="Times New Roman" w:hAnsi="Times New Roman"/>
                <w:b/>
                <w:sz w:val="16"/>
              </w:rPr>
              <w:t>)</w:t>
            </w:r>
          </w:p>
        </w:tc>
        <w:tc>
          <w:tcPr>
            <w:tcW w:w="30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616"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5635" w:type="dxa"/>
            <w:tcBorders/>
            <w:shd w:fill="CFF0FC" w:val="clear"/>
            <w:vAlign w:val="center"/>
          </w:tcPr>
          <w:p>
            <w:pPr>
              <w:pStyle w:val="TableContents"/>
              <w:bidi w:val="0"/>
              <w:spacing w:before="0" w:after="283"/>
              <w:jc w:val="left"/>
              <w:rPr>
                <w:sz w:val="4"/>
                <w:szCs w:val="4"/>
              </w:rPr>
            </w:pPr>
            <w:r>
              <w:rPr>
                <w:sz w:val="4"/>
                <w:szCs w:val="4"/>
              </w:rPr>
            </w:r>
          </w:p>
        </w:tc>
        <w:tc>
          <w:tcPr>
            <w:tcW w:w="911" w:type="dxa"/>
            <w:gridSpan w:val="2"/>
            <w:tcBorders/>
            <w:shd w:fill="CFF0FC" w:val="clear"/>
            <w:vAlign w:val="center"/>
          </w:tcPr>
          <w:p>
            <w:pPr>
              <w:pStyle w:val="TableContents"/>
              <w:bidi w:val="0"/>
              <w:spacing w:before="0" w:after="283"/>
              <w:jc w:val="left"/>
              <w:rPr>
                <w:sz w:val="4"/>
                <w:szCs w:val="4"/>
              </w:rPr>
            </w:pPr>
            <w:r>
              <w:rPr>
                <w:sz w:val="4"/>
                <w:szCs w:val="4"/>
              </w:rPr>
            </w:r>
          </w:p>
        </w:tc>
        <w:tc>
          <w:tcPr>
            <w:tcW w:w="1999" w:type="dxa"/>
            <w:gridSpan w:val="2"/>
            <w:tcBorders/>
            <w:shd w:fill="CFF0FC" w:val="clear"/>
            <w:vAlign w:val="center"/>
          </w:tcPr>
          <w:p>
            <w:pPr>
              <w:pStyle w:val="TableContents"/>
              <w:bidi w:val="0"/>
              <w:spacing w:before="0" w:after="283"/>
              <w:jc w:val="left"/>
              <w:rPr>
                <w:sz w:val="4"/>
                <w:szCs w:val="4"/>
              </w:rPr>
            </w:pPr>
            <w:r>
              <w:rPr>
                <w:sz w:val="4"/>
                <w:szCs w:val="4"/>
              </w:rPr>
            </w:r>
          </w:p>
        </w:tc>
        <w:tc>
          <w:tcPr>
            <w:tcW w:w="1660" w:type="dxa"/>
            <w:gridSpan w:val="2"/>
            <w:tcBorders/>
            <w:shd w:fill="CFF0FC" w:val="clear"/>
            <w:vAlign w:val="center"/>
          </w:tcPr>
          <w:p>
            <w:pPr>
              <w:pStyle w:val="TableContents"/>
              <w:bidi w:val="0"/>
              <w:spacing w:before="0" w:after="283"/>
              <w:jc w:val="left"/>
              <w:rPr>
                <w:sz w:val="4"/>
                <w:szCs w:val="4"/>
              </w:rPr>
            </w:pPr>
            <w:r>
              <w:rPr>
                <w:sz w:val="4"/>
                <w:szCs w:val="4"/>
              </w:rPr>
            </w:r>
          </w:p>
        </w:tc>
      </w:tr>
      <w:tr>
        <w:trPr/>
        <w:tc>
          <w:tcPr>
            <w:tcW w:w="5635" w:type="dxa"/>
            <w:tcBorders>
              <w:bottom w:val="single" w:sz="2" w:space="0" w:color="000000"/>
            </w:tcBorders>
            <w:shd w:fill="CFF0FC" w:val="clear"/>
            <w:tcMar>
              <w:bottom w:w="60" w:type="dxa"/>
            </w:tcMar>
          </w:tcPr>
          <w:p>
            <w:pPr>
              <w:pStyle w:val="TableContents"/>
              <w:bidi w:val="0"/>
              <w:spacing w:before="0" w:after="0"/>
              <w:jc w:val="left"/>
              <w:rPr>
                <w:rFonts w:ascii="Times New Roman" w:hAnsi="Times New Roman"/>
                <w:b/>
                <w:sz w:val="16"/>
              </w:rPr>
            </w:pPr>
            <w:r>
              <w:rPr>
                <w:rFonts w:ascii="Times New Roman" w:hAnsi="Times New Roman"/>
                <w:b/>
                <w:sz w:val="16"/>
              </w:rPr>
              <w:t>Riaz Valani</w:t>
            </w:r>
          </w:p>
        </w:tc>
        <w:tc>
          <w:tcPr>
            <w:tcW w:w="306"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605"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383"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1616"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692"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968" w:type="dxa"/>
            <w:tcBorders>
              <w:bottom w:val="single" w:sz="2" w:space="0" w:color="000000"/>
            </w:tcBorders>
            <w:shd w:fill="CFF0FC" w:val="clear"/>
            <w:tcMar>
              <w:bottom w:w="60" w:type="dxa"/>
            </w:tcMar>
            <w:vAlign w:val="bottom"/>
          </w:tcPr>
          <w:p>
            <w:pPr>
              <w:pStyle w:val="TableContents"/>
              <w:bidi w:val="0"/>
              <w:spacing w:before="0" w:after="283"/>
              <w:jc w:val="center"/>
              <w:rPr/>
            </w:pPr>
            <w:r>
              <w:rPr/>
              <w:t>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6" w:name="toc800696_25"/>
      <w:bookmarkEnd w:id="26"/>
      <w:r>
        <w:rPr>
          <w:rFonts w:ascii="Times New Roman" w:hAnsi="Times New Roman"/>
          <w:b/>
          <w:sz w:val="20"/>
        </w:rPr>
        <w:t xml:space="preserve">AUDIT COMMITTEE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appointing, compensating, retaining, evaluating, terminating and overseeing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discussing with our independent registered public accounting firm their independence;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discussing with management and the independent registered public accounting firm our annual and quarterly financial statements and related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all audit and permissible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financial and accounting controls, including our internal audit function, and compliance with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enterprise risk management, including the management of financial risks and cybersecurity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monitoring our accounting principles, accounting policies, financial and accounting controls and compliance with legal and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Audit Committee charter is available on our website at </w:t>
      </w:r>
      <w:r>
        <w:rPr>
          <w:rFonts w:ascii="Times New Roman" w:hAnsi="Times New Roman"/>
          <w:i/>
          <w:sz w:val="20"/>
        </w:rPr>
        <w:t>www.ouster.com</w:t>
      </w:r>
      <w:r>
        <w:rPr>
          <w:rFonts w:ascii="Times New Roman" w:hAnsi="Times New Roman"/>
          <w:sz w:val="20"/>
        </w:rPr>
        <w:t xml:space="preserve">. The current members of the Audit Committee are Ernest E. Maddock, Susan Heystee and Kristin Slanina, with Ernest E. Maddock serving as the chair. </w:t>
      </w:r>
    </w:p>
    <w:p>
      <w:pPr>
        <w:pStyle w:val="TextBody"/>
        <w:bidi w:val="0"/>
        <w:spacing w:before="240" w:after="0"/>
        <w:jc w:val="both"/>
        <w:rPr>
          <w:rFonts w:ascii="Times New Roman" w:hAnsi="Times New Roman"/>
          <w:sz w:val="20"/>
        </w:rPr>
      </w:pPr>
      <w:r>
        <w:rPr>
          <w:rFonts w:ascii="Times New Roman" w:hAnsi="Times New Roman"/>
          <w:sz w:val="20"/>
        </w:rPr>
        <w:t xml:space="preserve">Our Board has determined that each of Ernest E. Maddock, Susan Heystee and Kristin Slanina are independent directors under NYSE Rules and the additional independence standards applicable to audit committee members established pursuant to Rule 10A-3 under the Exchange Act. In addition, our Board has affirmatively determined that the simultaneous service by Ernest E. Maddock on the audit committees of more than three other public companies boards of directors does not impair his ability to effectively serve on our Audit Committee. Our Board has also determined that each of Ernest E. Maddock, Susan Heystee and Kristin Slanina meets the financial literacy requirement for Audit Committee members under NYSE Rules and that Ernest E. Maddock is an audit committee financial expert within the meaning of the SEC rules and has accounting or related financial management expertise as required under the NYSE Rules.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met 6 times during the fiscal year ended December 31, 2023. </w:t>
      </w:r>
    </w:p>
    <w:p>
      <w:pPr>
        <w:pStyle w:val="TextBody"/>
        <w:bidi w:val="0"/>
        <w:spacing w:before="360" w:after="0"/>
        <w:jc w:val="left"/>
        <w:rPr>
          <w:rFonts w:ascii="Times New Roman" w:hAnsi="Times New Roman"/>
          <w:b/>
          <w:sz w:val="20"/>
        </w:rPr>
      </w:pPr>
      <w:bookmarkStart w:id="27" w:name="toc800696_26"/>
      <w:bookmarkEnd w:id="27"/>
      <w:r>
        <w:rPr>
          <w:rFonts w:ascii="Times New Roman" w:hAnsi="Times New Roman"/>
          <w:b/>
          <w:sz w:val="20"/>
        </w:rPr>
        <w:t xml:space="preserve">COMPENSATION COMMITTEE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is responsible for,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the corporate goals and objectives relevant to the compensation of our Chief Executive Officer, evaluating the performance of our Chief Executive Officer in light of these goals and objectives and, based upon this evaluation (either alone, or if directed by our Board, in conjunction with a majority of the independent directors of our Board), setting the compensation of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setting or making recommendations to our Board regarding the compensation of our other executive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our Board regarding the compensation of our directors as well as directors and officers indemnification and insurance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making recommendations to our Board regarding our incentive compensation and equity-based plans and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administering and overseeing our compliance with the compensation recovery policy required by applicable SEC and NYSE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appointing and overseeing any compensation consultants.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Pursuant to the Compensation Committees charter, which is available on our website at </w:t>
      </w:r>
      <w:r>
        <w:rPr>
          <w:rFonts w:ascii="Times New Roman" w:hAnsi="Times New Roman"/>
          <w:i/>
          <w:sz w:val="20"/>
        </w:rPr>
        <w:t>www.ouster.com</w:t>
      </w:r>
      <w:r>
        <w:rPr>
          <w:rFonts w:ascii="Times New Roman" w:hAnsi="Times New Roman"/>
          <w:sz w:val="20"/>
        </w:rPr>
        <w:t xml:space="preserve">, the Compensation Committee has the authority to retain or obtain the advice of compensation consultants, legal counsel and other advisors to assist in carrying out its responsibilities. In 2023, the Compensation Committee engaged Pay Governance to assist in making decisions regarding the amount and type of compensation to provide our executives and non-employee directors. Subsequently, in the third quarter of 2023, the Compensation Committee engaged Semler Brossy to serve as a compensation consultant on executive compensation matters. The Compensation Committee has considered the adviser independence factors required under NYSE rules as they relate to Pay Governance and to Semler Brossy and has determined that neither Pay Governances work nor Semler Brossys work raises a conflict of interest.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amended and restated bylaws (the Bylaws) and applicable NYSE Rules. </w:t>
      </w:r>
    </w:p>
    <w:p>
      <w:pPr>
        <w:pStyle w:val="TextBody"/>
        <w:bidi w:val="0"/>
        <w:spacing w:before="240" w:after="0"/>
        <w:jc w:val="both"/>
        <w:rPr>
          <w:rFonts w:ascii="Times New Roman" w:hAnsi="Times New Roman"/>
          <w:sz w:val="20"/>
        </w:rPr>
      </w:pPr>
      <w:r>
        <w:rPr>
          <w:rFonts w:ascii="Times New Roman" w:hAnsi="Times New Roman"/>
          <w:sz w:val="20"/>
        </w:rPr>
        <w:t xml:space="preserve">The current members of our Compensation Committee are Susan Heystee, Ernest E. Maddock and Kristin Slanina with Susan Heystee serving as the chair. Each member of our Compensation Committee meets the requirements for independence under the current NYSE Rules, including the NYSE Rules applicable to compensation committee membership. Each member of our Compensation Committee is also a non-employee director, as defined in Section 16b-3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met 5 times during the fiscal year ended December 31, 2023. </w:t>
      </w:r>
    </w:p>
    <w:p>
      <w:pPr>
        <w:pStyle w:val="TextBody"/>
        <w:bidi w:val="0"/>
        <w:spacing w:before="360" w:after="0"/>
        <w:jc w:val="left"/>
        <w:rPr>
          <w:rFonts w:ascii="Times New Roman" w:hAnsi="Times New Roman"/>
          <w:b/>
          <w:sz w:val="20"/>
        </w:rPr>
      </w:pPr>
      <w:bookmarkStart w:id="28" w:name="toc800696_27"/>
      <w:bookmarkEnd w:id="28"/>
      <w:r>
        <w:rPr>
          <w:rFonts w:ascii="Times New Roman" w:hAnsi="Times New Roman"/>
          <w:b/>
          <w:sz w:val="20"/>
        </w:rPr>
        <w:t xml:space="preserve">NOMINATING AND CORPORATE GOVERNANCE COMMITTEE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identifying individuals qualified to become members of our Board, consistent with criteria approved by our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recommending to our Board the nominees for election to our Board at annual meetings of stockholders and director candidates to fill vacancies occurring between annual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the Board leadership structure and recommending any proposed changes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an annual evaluation of the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succession planning for the Chief Executive Officer and other executive officer roles;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recommending to our Board a set of corporate governance guidelines and overseeing other corporate governance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Nominating and Corporate Governance Committee charter is available on our website at </w:t>
      </w:r>
      <w:r>
        <w:rPr>
          <w:rFonts w:ascii="Times New Roman" w:hAnsi="Times New Roman"/>
          <w:i/>
          <w:sz w:val="20"/>
        </w:rPr>
        <w:t>www.ouster.com</w:t>
      </w:r>
      <w:r>
        <w:rPr>
          <w:rFonts w:ascii="Times New Roman" w:hAnsi="Times New Roman"/>
          <w:sz w:val="20"/>
        </w:rPr>
        <w:t xml:space="preserve">. Our Nominating and Corporate Governance Committee consists of Virginia Boulet, Karin Rådström and Riaz Valani, with Virginia Boulet serving as the chair. Each member of our Nominating and Corporate Governance Committee meets the requirements for independence under the current NYSE Rules. The Nominating and Corporate Governance Committee has the authority to consult with outside advisors or retain search firms to assist in the search for qualified candidates or consider director candidates recommended by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met 3 times during the fiscal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29" w:name="toc800696_29"/>
      <w:bookmarkStart w:id="30" w:name="toc800696_28"/>
      <w:bookmarkEnd w:id="29"/>
      <w:bookmarkEnd w:id="30"/>
      <w:r>
        <w:rPr>
          <w:rFonts w:ascii="Times New Roman" w:hAnsi="Times New Roman"/>
          <w:b/>
          <w:sz w:val="20"/>
        </w:rPr>
        <w:t xml:space="preserve">EXECUTIVE COMPENSATION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This section discusses the material components of the executive compensation program for our 2023 named executive officers. Our named executive officers and their positions for the year ended December 31, 2023 (collectively, the named executive officers)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0"/>
        <w:gridCol w:w="8983"/>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Angus Pacala,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 Weinswig, our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Darien Spencer, our Chief Operations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Anna Brunelle, our former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Adam Dolinko, our former General Counsel and Secretary. </w:t>
            </w:r>
          </w:p>
        </w:tc>
      </w:tr>
    </w:tbl>
    <w:p>
      <w:pPr>
        <w:pStyle w:val="TextBody"/>
        <w:bidi w:val="0"/>
        <w:spacing w:before="240" w:after="0"/>
        <w:jc w:val="both"/>
        <w:rPr>
          <w:rFonts w:ascii="Times New Roman" w:hAnsi="Times New Roman"/>
          <w:sz w:val="20"/>
        </w:rPr>
      </w:pPr>
      <w:r>
        <w:rPr>
          <w:rFonts w:ascii="Times New Roman" w:hAnsi="Times New Roman"/>
          <w:sz w:val="20"/>
        </w:rPr>
        <w:t xml:space="preserve">Ms. Brunelle and Mr. Dolinko ceased serving as our Chief Financial Officer and General Counsel and Secretary, in each case, as of the closing of our merger with Velodyne on February 10, 2023. Mr. Dolinko terminated employment with us on February 10, 2023, and Ms. Brunelle continued employment with us as an advisor through May 17, 2023.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As a smaller reporting company, as defined in Rule 12b-2 of the Securities Exchange Act of 1934, as amended, we are not required to include a Compensation Discussion and Analysis section and have elected to comply with the scaled disclosure requirements applicable to smaller reporting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2023 Summary Compensation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contains information about the compensation earned by each of our named executive officers during our most recently completed fiscal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7"/>
        <w:gridCol w:w="168"/>
        <w:gridCol w:w="60"/>
        <w:gridCol w:w="500"/>
        <w:gridCol w:w="60"/>
        <w:gridCol w:w="168"/>
        <w:gridCol w:w="60"/>
        <w:gridCol w:w="815"/>
        <w:gridCol w:w="60"/>
        <w:gridCol w:w="168"/>
        <w:gridCol w:w="77"/>
        <w:gridCol w:w="1314"/>
        <w:gridCol w:w="60"/>
        <w:gridCol w:w="168"/>
        <w:gridCol w:w="103"/>
        <w:gridCol w:w="1434"/>
        <w:gridCol w:w="60"/>
        <w:gridCol w:w="168"/>
        <w:gridCol w:w="103"/>
        <w:gridCol w:w="1434"/>
        <w:gridCol w:w="60"/>
        <w:gridCol w:w="167"/>
        <w:gridCol w:w="60"/>
        <w:gridCol w:w="1131"/>
        <w:gridCol w:w="70"/>
      </w:tblGrid>
      <w:tr>
        <w:trPr/>
        <w:tc>
          <w:tcPr>
            <w:tcW w:w="1737"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737" w:type="dxa"/>
            <w:tcBorders>
              <w:bottom w:val="single" w:sz="2" w:space="0" w:color="000000"/>
            </w:tcBorders>
            <w:tcMar>
              <w:bottom w:w="60" w:type="dxa"/>
            </w:tcMar>
            <w:vAlign w:val="bottom"/>
          </w:tcPr>
          <w:p>
            <w:pPr>
              <w:pStyle w:val="TableContents"/>
              <w:bidi w:val="0"/>
              <w:spacing w:before="0" w:after="283"/>
              <w:jc w:val="center"/>
              <w:rPr>
                <w:b/>
              </w:rPr>
            </w:pPr>
            <w:r>
              <w:rPr>
                <w:b/>
              </w:rPr>
              <w:t>Name and</w:t>
              <w:br/>
              <w:t>Principal</w:t>
              <w:br/>
              <w:t>Position</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Year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875" w:type="dxa"/>
            <w:gridSpan w:val="2"/>
            <w:tcBorders>
              <w:bottom w:val="single" w:sz="2" w:space="0" w:color="000000"/>
            </w:tcBorders>
            <w:tcMar>
              <w:bottom w:w="60" w:type="dxa"/>
            </w:tcMar>
            <w:vAlign w:val="bottom"/>
          </w:tcPr>
          <w:p>
            <w:pPr>
              <w:pStyle w:val="TableContents"/>
              <w:bidi w:val="0"/>
              <w:spacing w:before="0" w:after="283"/>
              <w:jc w:val="center"/>
              <w:rPr>
                <w:b/>
              </w:rPr>
            </w:pPr>
            <w:r>
              <w:rPr>
                <w:b/>
              </w:rPr>
              <w:t>Salary</w:t>
              <w:b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1391" w:type="dxa"/>
            <w:gridSpan w:val="2"/>
            <w:tcBorders>
              <w:bottom w:val="single" w:sz="2" w:space="0" w:color="000000"/>
            </w:tcBorders>
            <w:tcMar>
              <w:bottom w:w="60" w:type="dxa"/>
            </w:tcMar>
            <w:vAlign w:val="bottom"/>
          </w:tcPr>
          <w:p>
            <w:pPr>
              <w:pStyle w:val="TableContents"/>
              <w:bidi w:val="0"/>
              <w:spacing w:before="0" w:after="283"/>
              <w:jc w:val="center"/>
              <w:rPr>
                <w:b/>
              </w:rPr>
            </w:pPr>
            <w:r>
              <w:rPr>
                <w:b/>
              </w:rPr>
              <w:t>Stock</w:t>
              <w:br/>
              <w:t>Awards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Non-Equity</w:t>
              <w:br/>
              <w:t>Incentive Plan</w:t>
              <w:br/>
              <w:t>Compensation</w:t>
              <w:b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All Other</w:t>
              <w:br/>
              <w:t>Compensation</w:t>
              <w:br/>
              <w:t>($)(2)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67" w:type="dxa"/>
            <w:tcBorders>
              <w:bottom w:val="single" w:sz="2" w:space="0" w:color="000000"/>
            </w:tcBorders>
            <w:tcMar>
              <w:bottom w:w="28" w:type="dxa"/>
            </w:tcMar>
            <w:vAlign w:val="bottom"/>
          </w:tcPr>
          <w:p>
            <w:pPr>
              <w:pStyle w:val="TableContents"/>
              <w:bidi w:val="0"/>
              <w:spacing w:before="0" w:after="283"/>
              <w:jc w:val="left"/>
              <w:rPr/>
            </w:pPr>
            <w:r>
              <w:rPr/>
              <w:t>  </w:t>
            </w:r>
          </w:p>
        </w:tc>
        <w:tc>
          <w:tcPr>
            <w:tcW w:w="1191" w:type="dxa"/>
            <w:gridSpan w:val="2"/>
            <w:tcBorders>
              <w:bottom w:val="single" w:sz="2" w:space="0" w:color="000000"/>
            </w:tcBorders>
            <w:tcMar>
              <w:bottom w:w="60" w:type="dxa"/>
            </w:tcMar>
            <w:vAlign w:val="bottom"/>
          </w:tcPr>
          <w:p>
            <w:pPr>
              <w:pStyle w:val="TableContents"/>
              <w:bidi w:val="0"/>
              <w:spacing w:before="0" w:after="283"/>
              <w:jc w:val="center"/>
              <w:rPr>
                <w:b/>
              </w:rPr>
            </w:pPr>
            <w:r>
              <w:rPr>
                <w:b/>
              </w:rPr>
              <w:t>Total</w:t>
              <w:br/>
              <w:t>($)</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1737" w:type="dxa"/>
            <w:tcBorders/>
            <w:shd w:fill="CFF0FC" w:val="clear"/>
            <w:vAlign w:val="center"/>
          </w:tcPr>
          <w:p>
            <w:pPr>
              <w:pStyle w:val="TableContents"/>
              <w:bidi w:val="0"/>
              <w:spacing w:before="0" w:after="283"/>
              <w:jc w:val="left"/>
              <w:rPr>
                <w:sz w:val="4"/>
                <w:szCs w:val="4"/>
              </w:rPr>
            </w:pPr>
            <w:r>
              <w:rPr>
                <w:sz w:val="4"/>
                <w:szCs w:val="4"/>
              </w:rPr>
            </w:r>
          </w:p>
        </w:tc>
        <w:tc>
          <w:tcPr>
            <w:tcW w:w="788" w:type="dxa"/>
            <w:gridSpan w:val="4"/>
            <w:tcBorders/>
            <w:shd w:fill="CFF0FC" w:val="clear"/>
            <w:vAlign w:val="center"/>
          </w:tcPr>
          <w:p>
            <w:pPr>
              <w:pStyle w:val="TableContents"/>
              <w:bidi w:val="0"/>
              <w:spacing w:before="0" w:after="283"/>
              <w:jc w:val="left"/>
              <w:rPr>
                <w:sz w:val="4"/>
                <w:szCs w:val="4"/>
              </w:rPr>
            </w:pPr>
            <w:r>
              <w:rPr>
                <w:sz w:val="4"/>
                <w:szCs w:val="4"/>
              </w:rPr>
            </w:r>
          </w:p>
        </w:tc>
        <w:tc>
          <w:tcPr>
            <w:tcW w:w="1103" w:type="dxa"/>
            <w:gridSpan w:val="4"/>
            <w:tcBorders/>
            <w:shd w:fill="CFF0FC" w:val="clear"/>
            <w:vAlign w:val="center"/>
          </w:tcPr>
          <w:p>
            <w:pPr>
              <w:pStyle w:val="TableContents"/>
              <w:bidi w:val="0"/>
              <w:spacing w:before="0" w:after="283"/>
              <w:jc w:val="left"/>
              <w:rPr>
                <w:sz w:val="4"/>
                <w:szCs w:val="4"/>
              </w:rPr>
            </w:pPr>
            <w:r>
              <w:rPr>
                <w:sz w:val="4"/>
                <w:szCs w:val="4"/>
              </w:rPr>
            </w:r>
          </w:p>
        </w:tc>
        <w:tc>
          <w:tcPr>
            <w:tcW w:w="1619"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42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737"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Angus Pacala</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500" w:type="dxa"/>
            <w:tcBorders/>
            <w:shd w:fill="CFF0FC" w:val="clear"/>
            <w:vAlign w:val="bottom"/>
          </w:tcPr>
          <w:p>
            <w:pPr>
              <w:pStyle w:val="TableContents"/>
              <w:bidi w:val="0"/>
              <w:spacing w:before="0" w:after="283"/>
              <w:jc w:val="right"/>
              <w:rPr/>
            </w:pPr>
            <w:r>
              <w:rPr/>
              <w:t>2023</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15" w:type="dxa"/>
            <w:tcBorders/>
            <w:shd w:fill="CFF0FC" w:val="clear"/>
            <w:vAlign w:val="bottom"/>
          </w:tcPr>
          <w:p>
            <w:pPr>
              <w:pStyle w:val="TableContents"/>
              <w:bidi w:val="0"/>
              <w:spacing w:before="0" w:after="283"/>
              <w:jc w:val="right"/>
              <w:rPr/>
            </w:pPr>
            <w:r>
              <w:rPr/>
              <w:t>324,999</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77" w:type="dxa"/>
            <w:tcBorders/>
            <w:shd w:fill="CFF0FC" w:val="clear"/>
            <w:vAlign w:val="bottom"/>
          </w:tcPr>
          <w:p>
            <w:pPr>
              <w:pStyle w:val="TableContents"/>
              <w:bidi w:val="0"/>
              <w:spacing w:before="0" w:after="283"/>
              <w:jc w:val="left"/>
              <w:rPr/>
            </w:pPr>
            <w:r>
              <w:rPr/>
              <w:t> </w:t>
            </w:r>
          </w:p>
        </w:tc>
        <w:tc>
          <w:tcPr>
            <w:tcW w:w="1314" w:type="dxa"/>
            <w:tcBorders/>
            <w:shd w:fill="CFF0FC" w:val="clear"/>
            <w:vAlign w:val="bottom"/>
          </w:tcPr>
          <w:p>
            <w:pPr>
              <w:pStyle w:val="TableContents"/>
              <w:bidi w:val="0"/>
              <w:spacing w:before="0" w:after="283"/>
              <w:jc w:val="right"/>
              <w:rPr/>
            </w:pPr>
            <w:r>
              <w:rPr/>
              <w:t>368,400</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354,871</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8,692</w:t>
            </w:r>
          </w:p>
        </w:tc>
        <w:tc>
          <w:tcPr>
            <w:tcW w:w="60" w:type="dxa"/>
            <w:tcBorders/>
            <w:shd w:fill="CFF0FC" w:val="clear"/>
            <w:vAlign w:val="bottom"/>
          </w:tcPr>
          <w:p>
            <w:pPr>
              <w:pStyle w:val="TableContents"/>
              <w:bidi w:val="0"/>
              <w:spacing w:before="0" w:after="283"/>
              <w:jc w:val="left"/>
              <w:rPr/>
            </w:pPr>
            <w:r>
              <w:rPr/>
              <w:t> </w:t>
            </w:r>
          </w:p>
        </w:tc>
        <w:tc>
          <w:tcPr>
            <w:tcW w:w="167"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1131" w:type="dxa"/>
            <w:tcBorders/>
            <w:shd w:fill="CFF0FC" w:val="clear"/>
            <w:vAlign w:val="bottom"/>
          </w:tcPr>
          <w:p>
            <w:pPr>
              <w:pStyle w:val="TableContents"/>
              <w:bidi w:val="0"/>
              <w:spacing w:before="0" w:after="283"/>
              <w:jc w:val="right"/>
              <w:rPr/>
            </w:pPr>
            <w:r>
              <w:rPr/>
              <w:t>1,056,962 </w:t>
            </w:r>
          </w:p>
        </w:tc>
        <w:tc>
          <w:tcPr>
            <w:tcW w:w="70" w:type="dxa"/>
            <w:tcBorders/>
            <w:shd w:fill="CFF0FC" w:val="clear"/>
            <w:vAlign w:val="bottom"/>
          </w:tcPr>
          <w:p>
            <w:pPr>
              <w:pStyle w:val="TableContents"/>
              <w:bidi w:val="0"/>
              <w:spacing w:before="0" w:after="283"/>
              <w:jc w:val="left"/>
              <w:rPr/>
            </w:pPr>
            <w:r>
              <w:rPr/>
              <w:t> </w:t>
            </w:r>
          </w:p>
        </w:tc>
      </w:tr>
      <w:tr>
        <w:trPr>
          <w:trHeight w:val="60" w:hRule="atLeast"/>
        </w:trPr>
        <w:tc>
          <w:tcPr>
            <w:tcW w:w="1737" w:type="dxa"/>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0"/>
              <w:jc w:val="left"/>
              <w:rPr>
                <w:rFonts w:ascii="Times New Roman" w:hAnsi="Times New Roman"/>
                <w:i/>
                <w:sz w:val="16"/>
              </w:rPr>
            </w:pPr>
            <w:r>
              <w:rPr>
                <w:rFonts w:ascii="Times New Roman" w:hAnsi="Times New Roman"/>
                <w:i/>
                <w:sz w:val="16"/>
              </w:rPr>
              <w:t>Chief Executive Officer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160,000</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6,400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166,400 </w:t>
            </w:r>
          </w:p>
        </w:tc>
        <w:tc>
          <w:tcPr>
            <w:tcW w:w="70" w:type="dxa"/>
            <w:tcBorders/>
            <w:vAlign w:val="bottom"/>
          </w:tcPr>
          <w:p>
            <w:pPr>
              <w:pStyle w:val="TableContents"/>
              <w:bidi w:val="0"/>
              <w:spacing w:before="0" w:after="283"/>
              <w:jc w:val="left"/>
              <w:rPr/>
            </w:pPr>
            <w:r>
              <w:rPr/>
              <w:t> </w:t>
            </w:r>
          </w:p>
        </w:tc>
      </w:tr>
      <w:tr>
        <w:trPr>
          <w:trHeight w:val="60" w:hRule="atLeast"/>
        </w:trPr>
        <w:tc>
          <w:tcPr>
            <w:tcW w:w="1737" w:type="dxa"/>
            <w:tcBorders/>
            <w:shd w:fill="CFF0FC" w:val="clear"/>
            <w:vAlign w:val="center"/>
          </w:tcPr>
          <w:p>
            <w:pPr>
              <w:pStyle w:val="TableContents"/>
              <w:bidi w:val="0"/>
              <w:spacing w:before="0" w:after="283"/>
              <w:jc w:val="left"/>
              <w:rPr>
                <w:sz w:val="4"/>
                <w:szCs w:val="4"/>
              </w:rPr>
            </w:pPr>
            <w:r>
              <w:rPr>
                <w:sz w:val="4"/>
                <w:szCs w:val="4"/>
              </w:rPr>
            </w:r>
          </w:p>
        </w:tc>
        <w:tc>
          <w:tcPr>
            <w:tcW w:w="788" w:type="dxa"/>
            <w:gridSpan w:val="4"/>
            <w:tcBorders/>
            <w:shd w:fill="CFF0FC" w:val="clear"/>
            <w:vAlign w:val="center"/>
          </w:tcPr>
          <w:p>
            <w:pPr>
              <w:pStyle w:val="TableContents"/>
              <w:bidi w:val="0"/>
              <w:spacing w:before="0" w:after="283"/>
              <w:jc w:val="left"/>
              <w:rPr>
                <w:sz w:val="4"/>
                <w:szCs w:val="4"/>
              </w:rPr>
            </w:pPr>
            <w:r>
              <w:rPr>
                <w:sz w:val="4"/>
                <w:szCs w:val="4"/>
              </w:rPr>
            </w:r>
          </w:p>
        </w:tc>
        <w:tc>
          <w:tcPr>
            <w:tcW w:w="1103" w:type="dxa"/>
            <w:gridSpan w:val="4"/>
            <w:tcBorders/>
            <w:shd w:fill="CFF0FC" w:val="clear"/>
            <w:vAlign w:val="center"/>
          </w:tcPr>
          <w:p>
            <w:pPr>
              <w:pStyle w:val="TableContents"/>
              <w:bidi w:val="0"/>
              <w:spacing w:before="0" w:after="283"/>
              <w:jc w:val="left"/>
              <w:rPr>
                <w:sz w:val="4"/>
                <w:szCs w:val="4"/>
              </w:rPr>
            </w:pPr>
            <w:r>
              <w:rPr>
                <w:sz w:val="4"/>
                <w:szCs w:val="4"/>
              </w:rPr>
            </w:r>
          </w:p>
        </w:tc>
        <w:tc>
          <w:tcPr>
            <w:tcW w:w="1619"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42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737"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Mark Weinswig(3)</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500" w:type="dxa"/>
            <w:tcBorders/>
            <w:shd w:fill="CFF0FC" w:val="clear"/>
            <w:vAlign w:val="bottom"/>
          </w:tcPr>
          <w:p>
            <w:pPr>
              <w:pStyle w:val="TableContents"/>
              <w:bidi w:val="0"/>
              <w:spacing w:before="0" w:after="283"/>
              <w:jc w:val="right"/>
              <w:rPr/>
            </w:pPr>
            <w:r>
              <w:rPr/>
              <w:t>2023</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15" w:type="dxa"/>
            <w:tcBorders/>
            <w:shd w:fill="CFF0FC" w:val="clear"/>
            <w:vAlign w:val="bottom"/>
          </w:tcPr>
          <w:p>
            <w:pPr>
              <w:pStyle w:val="TableContents"/>
              <w:bidi w:val="0"/>
              <w:spacing w:before="0" w:after="283"/>
              <w:jc w:val="right"/>
              <w:rPr/>
            </w:pPr>
            <w:r>
              <w:rPr/>
              <w:t>327,307</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77" w:type="dxa"/>
            <w:tcBorders/>
            <w:shd w:fill="CFF0FC" w:val="clear"/>
            <w:vAlign w:val="bottom"/>
          </w:tcPr>
          <w:p>
            <w:pPr>
              <w:pStyle w:val="TableContents"/>
              <w:bidi w:val="0"/>
              <w:spacing w:before="0" w:after="283"/>
              <w:jc w:val="left"/>
              <w:rPr/>
            </w:pPr>
            <w:r>
              <w:rPr/>
              <w:t> </w:t>
            </w:r>
          </w:p>
        </w:tc>
        <w:tc>
          <w:tcPr>
            <w:tcW w:w="1314" w:type="dxa"/>
            <w:tcBorders/>
            <w:shd w:fill="CFF0FC" w:val="clear"/>
            <w:vAlign w:val="bottom"/>
          </w:tcPr>
          <w:p>
            <w:pPr>
              <w:pStyle w:val="TableContents"/>
              <w:bidi w:val="0"/>
              <w:spacing w:before="0" w:after="283"/>
              <w:jc w:val="right"/>
              <w:rPr/>
            </w:pPr>
            <w:r>
              <w:rPr/>
              <w:t>1,100,288</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242,405</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7,570</w:t>
            </w:r>
          </w:p>
        </w:tc>
        <w:tc>
          <w:tcPr>
            <w:tcW w:w="60" w:type="dxa"/>
            <w:tcBorders/>
            <w:shd w:fill="CFF0FC" w:val="clear"/>
            <w:vAlign w:val="bottom"/>
          </w:tcPr>
          <w:p>
            <w:pPr>
              <w:pStyle w:val="TableContents"/>
              <w:bidi w:val="0"/>
              <w:spacing w:before="0" w:after="283"/>
              <w:jc w:val="left"/>
              <w:rPr/>
            </w:pPr>
            <w:r>
              <w:rPr/>
              <w:t> </w:t>
            </w:r>
          </w:p>
        </w:tc>
        <w:tc>
          <w:tcPr>
            <w:tcW w:w="167"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1131" w:type="dxa"/>
            <w:tcBorders/>
            <w:shd w:fill="CFF0FC" w:val="clear"/>
            <w:vAlign w:val="bottom"/>
          </w:tcPr>
          <w:p>
            <w:pPr>
              <w:pStyle w:val="TableContents"/>
              <w:bidi w:val="0"/>
              <w:spacing w:before="0" w:after="283"/>
              <w:jc w:val="right"/>
              <w:rPr/>
            </w:pPr>
            <w:r>
              <w:rPr/>
              <w:t>1,677,570 </w:t>
            </w:r>
          </w:p>
        </w:tc>
        <w:tc>
          <w:tcPr>
            <w:tcW w:w="70" w:type="dxa"/>
            <w:tcBorders/>
            <w:shd w:fill="CFF0FC" w:val="clear"/>
            <w:vAlign w:val="bottom"/>
          </w:tcPr>
          <w:p>
            <w:pPr>
              <w:pStyle w:val="TableContents"/>
              <w:bidi w:val="0"/>
              <w:spacing w:before="0" w:after="283"/>
              <w:jc w:val="left"/>
              <w:rPr/>
            </w:pPr>
            <w:r>
              <w:rPr/>
              <w:t> </w:t>
            </w:r>
          </w:p>
        </w:tc>
      </w:tr>
      <w:tr>
        <w:trPr>
          <w:trHeight w:val="60" w:hRule="atLeast"/>
        </w:trPr>
        <w:tc>
          <w:tcPr>
            <w:tcW w:w="1737" w:type="dxa"/>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0"/>
              <w:jc w:val="left"/>
              <w:rPr>
                <w:rFonts w:ascii="Times New Roman" w:hAnsi="Times New Roman"/>
                <w:i/>
                <w:sz w:val="16"/>
              </w:rPr>
            </w:pPr>
            <w:r>
              <w:rPr>
                <w:rFonts w:ascii="Times New Roman" w:hAnsi="Times New Roman"/>
                <w:i/>
                <w:sz w:val="16"/>
              </w:rPr>
              <w:t>Chief Financial Officer</w:t>
            </w:r>
          </w:p>
        </w:tc>
        <w:tc>
          <w:tcPr>
            <w:tcW w:w="1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1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77" w:type="dxa"/>
            <w:tcBorders/>
          </w:tcPr>
          <w:p>
            <w:pPr>
              <w:pStyle w:val="TableContents"/>
              <w:bidi w:val="0"/>
              <w:spacing w:before="0" w:after="283"/>
              <w:jc w:val="left"/>
              <w:rPr>
                <w:sz w:val="4"/>
                <w:szCs w:val="4"/>
              </w:rPr>
            </w:pPr>
            <w:r>
              <w:rPr>
                <w:sz w:val="4"/>
                <w:szCs w:val="4"/>
              </w:rPr>
            </w:r>
          </w:p>
        </w:tc>
        <w:tc>
          <w:tcPr>
            <w:tcW w:w="131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sz w:val="4"/>
                <w:szCs w:val="4"/>
              </w:rPr>
            </w:pPr>
            <w:r>
              <w:rPr>
                <w:sz w:val="4"/>
                <w:szCs w:val="4"/>
              </w:rPr>
            </w:r>
          </w:p>
        </w:tc>
        <w:tc>
          <w:tcPr>
            <w:tcW w:w="143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sz w:val="4"/>
                <w:szCs w:val="4"/>
              </w:rPr>
            </w:pPr>
            <w:r>
              <w:rPr>
                <w:sz w:val="4"/>
                <w:szCs w:val="4"/>
              </w:rPr>
            </w:r>
          </w:p>
        </w:tc>
        <w:tc>
          <w:tcPr>
            <w:tcW w:w="143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131" w:type="dxa"/>
            <w:tcBorders/>
          </w:tcPr>
          <w:p>
            <w:pPr>
              <w:pStyle w:val="TableContents"/>
              <w:bidi w:val="0"/>
              <w:spacing w:before="0" w:after="283"/>
              <w:jc w:val="left"/>
              <w:rPr>
                <w:sz w:val="4"/>
                <w:szCs w:val="4"/>
              </w:rPr>
            </w:pPr>
            <w:r>
              <w:rPr>
                <w:sz w:val="4"/>
                <w:szCs w:val="4"/>
              </w:rPr>
            </w:r>
          </w:p>
        </w:tc>
        <w:tc>
          <w:tcPr>
            <w:tcW w:w="70" w:type="dxa"/>
            <w:tcBorders/>
          </w:tcPr>
          <w:p>
            <w:pPr>
              <w:pStyle w:val="TableContents"/>
              <w:bidi w:val="0"/>
              <w:spacing w:before="0" w:after="283"/>
              <w:jc w:val="left"/>
              <w:rPr>
                <w:sz w:val="4"/>
                <w:szCs w:val="4"/>
              </w:rPr>
            </w:pPr>
            <w:r>
              <w:rPr>
                <w:sz w:val="4"/>
                <w:szCs w:val="4"/>
              </w:rPr>
            </w:r>
          </w:p>
        </w:tc>
      </w:tr>
      <w:tr>
        <w:trPr>
          <w:trHeight w:val="60" w:hRule="atLeast"/>
        </w:trPr>
        <w:tc>
          <w:tcPr>
            <w:tcW w:w="1737" w:type="dxa"/>
            <w:tcBorders/>
            <w:shd w:fill="CFF0FC" w:val="clear"/>
            <w:vAlign w:val="center"/>
          </w:tcPr>
          <w:p>
            <w:pPr>
              <w:pStyle w:val="TableContents"/>
              <w:bidi w:val="0"/>
              <w:spacing w:before="0" w:after="283"/>
              <w:jc w:val="left"/>
              <w:rPr>
                <w:sz w:val="4"/>
                <w:szCs w:val="4"/>
              </w:rPr>
            </w:pPr>
            <w:r>
              <w:rPr>
                <w:sz w:val="4"/>
                <w:szCs w:val="4"/>
              </w:rPr>
            </w:r>
          </w:p>
        </w:tc>
        <w:tc>
          <w:tcPr>
            <w:tcW w:w="788" w:type="dxa"/>
            <w:gridSpan w:val="4"/>
            <w:tcBorders/>
            <w:shd w:fill="CFF0FC" w:val="clear"/>
            <w:vAlign w:val="center"/>
          </w:tcPr>
          <w:p>
            <w:pPr>
              <w:pStyle w:val="TableContents"/>
              <w:bidi w:val="0"/>
              <w:spacing w:before="0" w:after="283"/>
              <w:jc w:val="left"/>
              <w:rPr>
                <w:sz w:val="4"/>
                <w:szCs w:val="4"/>
              </w:rPr>
            </w:pPr>
            <w:r>
              <w:rPr>
                <w:sz w:val="4"/>
                <w:szCs w:val="4"/>
              </w:rPr>
            </w:r>
          </w:p>
        </w:tc>
        <w:tc>
          <w:tcPr>
            <w:tcW w:w="1103" w:type="dxa"/>
            <w:gridSpan w:val="4"/>
            <w:tcBorders/>
            <w:shd w:fill="CFF0FC" w:val="clear"/>
            <w:vAlign w:val="center"/>
          </w:tcPr>
          <w:p>
            <w:pPr>
              <w:pStyle w:val="TableContents"/>
              <w:bidi w:val="0"/>
              <w:spacing w:before="0" w:after="283"/>
              <w:jc w:val="left"/>
              <w:rPr>
                <w:sz w:val="4"/>
                <w:szCs w:val="4"/>
              </w:rPr>
            </w:pPr>
            <w:r>
              <w:rPr>
                <w:sz w:val="4"/>
                <w:szCs w:val="4"/>
              </w:rPr>
            </w:r>
          </w:p>
        </w:tc>
        <w:tc>
          <w:tcPr>
            <w:tcW w:w="1619"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42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737"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Darien Spencer</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500" w:type="dxa"/>
            <w:tcBorders/>
            <w:shd w:fill="CFF0FC" w:val="clear"/>
            <w:vAlign w:val="bottom"/>
          </w:tcPr>
          <w:p>
            <w:pPr>
              <w:pStyle w:val="TableContents"/>
              <w:bidi w:val="0"/>
              <w:spacing w:before="0" w:after="283"/>
              <w:jc w:val="right"/>
              <w:rPr/>
            </w:pPr>
            <w:r>
              <w:rPr/>
              <w:t>2023</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15" w:type="dxa"/>
            <w:tcBorders/>
            <w:shd w:fill="CFF0FC" w:val="clear"/>
            <w:vAlign w:val="bottom"/>
          </w:tcPr>
          <w:p>
            <w:pPr>
              <w:pStyle w:val="TableContents"/>
              <w:bidi w:val="0"/>
              <w:spacing w:before="0" w:after="283"/>
              <w:jc w:val="right"/>
              <w:rPr/>
            </w:pPr>
            <w:r>
              <w:rPr/>
              <w:t>324,904</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77" w:type="dxa"/>
            <w:tcBorders/>
            <w:shd w:fill="CFF0FC" w:val="clear"/>
            <w:vAlign w:val="bottom"/>
          </w:tcPr>
          <w:p>
            <w:pPr>
              <w:pStyle w:val="TableContents"/>
              <w:bidi w:val="0"/>
              <w:spacing w:before="0" w:after="283"/>
              <w:jc w:val="left"/>
              <w:rPr/>
            </w:pPr>
            <w:r>
              <w:rPr/>
              <w:t> </w:t>
            </w:r>
          </w:p>
        </w:tc>
        <w:tc>
          <w:tcPr>
            <w:tcW w:w="1314" w:type="dxa"/>
            <w:tcBorders/>
            <w:shd w:fill="CFF0FC" w:val="clear"/>
            <w:vAlign w:val="bottom"/>
          </w:tcPr>
          <w:p>
            <w:pPr>
              <w:pStyle w:val="TableContents"/>
              <w:bidi w:val="0"/>
              <w:spacing w:before="0" w:after="283"/>
              <w:jc w:val="right"/>
              <w:rPr/>
            </w:pPr>
            <w:r>
              <w:rPr/>
              <w:t>1,100,288</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187,673</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12,557</w:t>
            </w:r>
          </w:p>
        </w:tc>
        <w:tc>
          <w:tcPr>
            <w:tcW w:w="60" w:type="dxa"/>
            <w:tcBorders/>
            <w:shd w:fill="CFF0FC" w:val="clear"/>
            <w:vAlign w:val="bottom"/>
          </w:tcPr>
          <w:p>
            <w:pPr>
              <w:pStyle w:val="TableContents"/>
              <w:bidi w:val="0"/>
              <w:spacing w:before="0" w:after="283"/>
              <w:jc w:val="left"/>
              <w:rPr/>
            </w:pPr>
            <w:r>
              <w:rPr/>
              <w:t> </w:t>
            </w:r>
          </w:p>
        </w:tc>
        <w:tc>
          <w:tcPr>
            <w:tcW w:w="167"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1131" w:type="dxa"/>
            <w:tcBorders/>
            <w:shd w:fill="CFF0FC" w:val="clear"/>
            <w:vAlign w:val="bottom"/>
          </w:tcPr>
          <w:p>
            <w:pPr>
              <w:pStyle w:val="TableContents"/>
              <w:bidi w:val="0"/>
              <w:spacing w:before="0" w:after="283"/>
              <w:jc w:val="right"/>
              <w:rPr/>
            </w:pPr>
            <w:r>
              <w:rPr/>
              <w:t>1,625,422 </w:t>
            </w:r>
          </w:p>
        </w:tc>
        <w:tc>
          <w:tcPr>
            <w:tcW w:w="70" w:type="dxa"/>
            <w:tcBorders/>
            <w:shd w:fill="CFF0FC" w:val="clear"/>
            <w:vAlign w:val="bottom"/>
          </w:tcPr>
          <w:p>
            <w:pPr>
              <w:pStyle w:val="TableContents"/>
              <w:bidi w:val="0"/>
              <w:spacing w:before="0" w:after="283"/>
              <w:jc w:val="left"/>
              <w:rPr/>
            </w:pPr>
            <w:r>
              <w:rPr/>
              <w:t> </w:t>
            </w:r>
          </w:p>
        </w:tc>
      </w:tr>
      <w:tr>
        <w:trPr>
          <w:trHeight w:val="60" w:hRule="atLeast"/>
        </w:trPr>
        <w:tc>
          <w:tcPr>
            <w:tcW w:w="1737" w:type="dxa"/>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0"/>
              <w:jc w:val="left"/>
              <w:rPr>
                <w:rFonts w:ascii="Times New Roman" w:hAnsi="Times New Roman"/>
                <w:i/>
                <w:sz w:val="16"/>
              </w:rPr>
            </w:pPr>
            <w:r>
              <w:rPr>
                <w:rFonts w:ascii="Times New Roman" w:hAnsi="Times New Roman"/>
                <w:i/>
                <w:sz w:val="16"/>
              </w:rPr>
              <w:t>Chief Operations Officer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286,828</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1,496,513</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12,184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1,795,525 </w:t>
            </w:r>
          </w:p>
        </w:tc>
        <w:tc>
          <w:tcPr>
            <w:tcW w:w="70" w:type="dxa"/>
            <w:tcBorders/>
            <w:vAlign w:val="bottom"/>
          </w:tcPr>
          <w:p>
            <w:pPr>
              <w:pStyle w:val="TableContents"/>
              <w:bidi w:val="0"/>
              <w:spacing w:before="0" w:after="283"/>
              <w:jc w:val="left"/>
              <w:rPr/>
            </w:pPr>
            <w:r>
              <w:rPr/>
              <w:t> </w:t>
            </w:r>
          </w:p>
        </w:tc>
      </w:tr>
      <w:tr>
        <w:trPr>
          <w:trHeight w:val="60" w:hRule="atLeast"/>
        </w:trPr>
        <w:tc>
          <w:tcPr>
            <w:tcW w:w="1737" w:type="dxa"/>
            <w:tcBorders/>
            <w:shd w:fill="CFF0FC" w:val="clear"/>
            <w:vAlign w:val="center"/>
          </w:tcPr>
          <w:p>
            <w:pPr>
              <w:pStyle w:val="TableContents"/>
              <w:bidi w:val="0"/>
              <w:spacing w:before="0" w:after="283"/>
              <w:jc w:val="left"/>
              <w:rPr>
                <w:sz w:val="4"/>
                <w:szCs w:val="4"/>
              </w:rPr>
            </w:pPr>
            <w:r>
              <w:rPr>
                <w:sz w:val="4"/>
                <w:szCs w:val="4"/>
              </w:rPr>
            </w:r>
          </w:p>
        </w:tc>
        <w:tc>
          <w:tcPr>
            <w:tcW w:w="788" w:type="dxa"/>
            <w:gridSpan w:val="4"/>
            <w:tcBorders/>
            <w:shd w:fill="CFF0FC" w:val="clear"/>
            <w:vAlign w:val="center"/>
          </w:tcPr>
          <w:p>
            <w:pPr>
              <w:pStyle w:val="TableContents"/>
              <w:bidi w:val="0"/>
              <w:spacing w:before="0" w:after="283"/>
              <w:jc w:val="left"/>
              <w:rPr>
                <w:sz w:val="4"/>
                <w:szCs w:val="4"/>
              </w:rPr>
            </w:pPr>
            <w:r>
              <w:rPr>
                <w:sz w:val="4"/>
                <w:szCs w:val="4"/>
              </w:rPr>
            </w:r>
          </w:p>
        </w:tc>
        <w:tc>
          <w:tcPr>
            <w:tcW w:w="1103" w:type="dxa"/>
            <w:gridSpan w:val="4"/>
            <w:tcBorders/>
            <w:shd w:fill="CFF0FC" w:val="clear"/>
            <w:vAlign w:val="center"/>
          </w:tcPr>
          <w:p>
            <w:pPr>
              <w:pStyle w:val="TableContents"/>
              <w:bidi w:val="0"/>
              <w:spacing w:before="0" w:after="283"/>
              <w:jc w:val="left"/>
              <w:rPr>
                <w:sz w:val="4"/>
                <w:szCs w:val="4"/>
              </w:rPr>
            </w:pPr>
            <w:r>
              <w:rPr>
                <w:sz w:val="4"/>
                <w:szCs w:val="4"/>
              </w:rPr>
            </w:r>
          </w:p>
        </w:tc>
        <w:tc>
          <w:tcPr>
            <w:tcW w:w="1619"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42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737"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Anna Brunelle(4)</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500" w:type="dxa"/>
            <w:tcBorders/>
            <w:shd w:fill="CFF0FC" w:val="clear"/>
            <w:vAlign w:val="bottom"/>
          </w:tcPr>
          <w:p>
            <w:pPr>
              <w:pStyle w:val="TableContents"/>
              <w:bidi w:val="0"/>
              <w:spacing w:before="0" w:after="283"/>
              <w:jc w:val="right"/>
              <w:rPr/>
            </w:pPr>
            <w:r>
              <w:rPr/>
              <w:t>2023</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15" w:type="dxa"/>
            <w:tcBorders/>
            <w:shd w:fill="CFF0FC" w:val="clear"/>
            <w:vAlign w:val="bottom"/>
          </w:tcPr>
          <w:p>
            <w:pPr>
              <w:pStyle w:val="TableContents"/>
              <w:bidi w:val="0"/>
              <w:spacing w:before="0" w:after="283"/>
              <w:jc w:val="right"/>
              <w:rPr/>
            </w:pPr>
            <w:r>
              <w:rPr/>
              <w:t>128,750</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77" w:type="dxa"/>
            <w:tcBorders/>
            <w:shd w:fill="CFF0FC" w:val="clear"/>
            <w:vAlign w:val="bottom"/>
          </w:tcPr>
          <w:p>
            <w:pPr>
              <w:pStyle w:val="TableContents"/>
              <w:bidi w:val="0"/>
              <w:spacing w:before="0" w:after="283"/>
              <w:jc w:val="left"/>
              <w:rPr/>
            </w:pPr>
            <w:r>
              <w:rPr/>
              <w:t> </w:t>
            </w:r>
          </w:p>
        </w:tc>
        <w:tc>
          <w:tcPr>
            <w:tcW w:w="1314" w:type="dxa"/>
            <w:tcBorders/>
            <w:shd w:fill="CFF0FC" w:val="clear"/>
            <w:vAlign w:val="bottom"/>
          </w:tcPr>
          <w:p>
            <w:pPr>
              <w:pStyle w:val="TableContents"/>
              <w:bidi w:val="0"/>
              <w:spacing w:before="0" w:after="283"/>
              <w:jc w:val="right"/>
              <w:rPr/>
            </w:pPr>
            <w:r>
              <w:rPr/>
              <w:t>2,297,810</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396,313</w:t>
            </w:r>
          </w:p>
        </w:tc>
        <w:tc>
          <w:tcPr>
            <w:tcW w:w="60" w:type="dxa"/>
            <w:tcBorders/>
            <w:shd w:fill="CFF0FC" w:val="clear"/>
            <w:vAlign w:val="bottom"/>
          </w:tcPr>
          <w:p>
            <w:pPr>
              <w:pStyle w:val="TableContents"/>
              <w:bidi w:val="0"/>
              <w:spacing w:before="0" w:after="283"/>
              <w:jc w:val="left"/>
              <w:rPr/>
            </w:pPr>
            <w:r>
              <w:rPr/>
              <w:t> </w:t>
            </w:r>
          </w:p>
        </w:tc>
        <w:tc>
          <w:tcPr>
            <w:tcW w:w="167"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1131" w:type="dxa"/>
            <w:tcBorders/>
            <w:shd w:fill="CFF0FC" w:val="clear"/>
            <w:vAlign w:val="bottom"/>
          </w:tcPr>
          <w:p>
            <w:pPr>
              <w:pStyle w:val="TableContents"/>
              <w:bidi w:val="0"/>
              <w:spacing w:before="0" w:after="283"/>
              <w:jc w:val="right"/>
              <w:rPr/>
            </w:pPr>
            <w:r>
              <w:rPr/>
              <w:t>2,822,873 </w:t>
            </w:r>
          </w:p>
        </w:tc>
        <w:tc>
          <w:tcPr>
            <w:tcW w:w="70" w:type="dxa"/>
            <w:tcBorders/>
            <w:shd w:fill="CFF0FC" w:val="clear"/>
            <w:vAlign w:val="bottom"/>
          </w:tcPr>
          <w:p>
            <w:pPr>
              <w:pStyle w:val="TableContents"/>
              <w:bidi w:val="0"/>
              <w:spacing w:before="0" w:after="283"/>
              <w:jc w:val="left"/>
              <w:rPr/>
            </w:pPr>
            <w:r>
              <w:rPr/>
              <w:t> </w:t>
            </w:r>
          </w:p>
        </w:tc>
      </w:tr>
      <w:tr>
        <w:trPr>
          <w:trHeight w:val="60" w:hRule="atLeast"/>
        </w:trPr>
        <w:tc>
          <w:tcPr>
            <w:tcW w:w="1737" w:type="dxa"/>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0"/>
              <w:jc w:val="left"/>
              <w:rPr>
                <w:rFonts w:ascii="Times New Roman" w:hAnsi="Times New Roman"/>
                <w:i/>
                <w:sz w:val="16"/>
              </w:rPr>
            </w:pPr>
            <w:r>
              <w:rPr>
                <w:rFonts w:ascii="Times New Roman" w:hAnsi="Times New Roman"/>
                <w:i/>
                <w:sz w:val="16"/>
              </w:rPr>
              <w:t>Former Chief Financial Officer</w:t>
            </w:r>
          </w:p>
        </w:tc>
        <w:tc>
          <w:tcPr>
            <w:tcW w:w="1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2022</w:t>
            </w:r>
          </w:p>
        </w:tc>
        <w:tc>
          <w:tcPr>
            <w:tcW w:w="60" w:type="dxa"/>
            <w:tcBorders/>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15" w:type="dxa"/>
            <w:tcBorders/>
          </w:tcPr>
          <w:p>
            <w:pPr>
              <w:pStyle w:val="TableContents"/>
              <w:bidi w:val="0"/>
              <w:spacing w:before="0" w:after="283"/>
              <w:jc w:val="right"/>
              <w:rPr/>
            </w:pPr>
            <w:r>
              <w:rPr/>
              <w:t>325,000</w:t>
            </w:r>
          </w:p>
        </w:tc>
        <w:tc>
          <w:tcPr>
            <w:tcW w:w="60" w:type="dxa"/>
            <w:tcBorders/>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7" w:type="dxa"/>
            <w:tcBorders/>
          </w:tcPr>
          <w:p>
            <w:pPr>
              <w:pStyle w:val="TableContents"/>
              <w:bidi w:val="0"/>
              <w:spacing w:before="0" w:after="283"/>
              <w:jc w:val="left"/>
              <w:rPr/>
            </w:pPr>
            <w:r>
              <w:rPr/>
              <w:t> </w:t>
            </w:r>
          </w:p>
        </w:tc>
        <w:tc>
          <w:tcPr>
            <w:tcW w:w="1314" w:type="dxa"/>
            <w:tcBorders/>
          </w:tcPr>
          <w:p>
            <w:pPr>
              <w:pStyle w:val="TableContents"/>
              <w:bidi w:val="0"/>
              <w:spacing w:before="0" w:after="283"/>
              <w:jc w:val="right"/>
              <w:rPr/>
            </w:pPr>
            <w:r>
              <w:rPr/>
              <w:t>1,552,937</w:t>
            </w:r>
          </w:p>
        </w:tc>
        <w:tc>
          <w:tcPr>
            <w:tcW w:w="60" w:type="dxa"/>
            <w:tcBorders/>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434" w:type="dxa"/>
            <w:tcBorders/>
          </w:tcPr>
          <w:p>
            <w:pPr>
              <w:pStyle w:val="TableContents"/>
              <w:bidi w:val="0"/>
              <w:spacing w:before="0" w:after="283"/>
              <w:jc w:val="right"/>
              <w:rPr/>
            </w:pPr>
            <w:r>
              <w:rPr/>
              <w:t>-</w:t>
            </w:r>
          </w:p>
        </w:tc>
        <w:tc>
          <w:tcPr>
            <w:tcW w:w="60" w:type="dxa"/>
            <w:tcBorders/>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434" w:type="dxa"/>
            <w:tcBorders/>
          </w:tcPr>
          <w:p>
            <w:pPr>
              <w:pStyle w:val="TableContents"/>
              <w:bidi w:val="0"/>
              <w:spacing w:before="0" w:after="283"/>
              <w:jc w:val="right"/>
              <w:rPr/>
            </w:pPr>
            <w:r>
              <w:rPr/>
              <w:t>13,000</w:t>
            </w:r>
          </w:p>
        </w:tc>
        <w:tc>
          <w:tcPr>
            <w:tcW w:w="60" w:type="dxa"/>
            <w:tcBorders/>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31" w:type="dxa"/>
            <w:tcBorders/>
          </w:tcPr>
          <w:p>
            <w:pPr>
              <w:pStyle w:val="TableContents"/>
              <w:bidi w:val="0"/>
              <w:spacing w:before="0" w:after="283"/>
              <w:jc w:val="right"/>
              <w:rPr/>
            </w:pPr>
            <w:r>
              <w:rPr/>
              <w:t>1,890,937 </w:t>
            </w:r>
          </w:p>
        </w:tc>
        <w:tc>
          <w:tcPr>
            <w:tcW w:w="70" w:type="dxa"/>
            <w:tcBorders/>
          </w:tcPr>
          <w:p>
            <w:pPr>
              <w:pStyle w:val="TableContents"/>
              <w:bidi w:val="0"/>
              <w:spacing w:before="0" w:after="283"/>
              <w:jc w:val="left"/>
              <w:rPr/>
            </w:pPr>
            <w:r>
              <w:rPr/>
              <w:t> </w:t>
            </w:r>
          </w:p>
        </w:tc>
      </w:tr>
      <w:tr>
        <w:trPr>
          <w:trHeight w:val="60" w:hRule="atLeast"/>
        </w:trPr>
        <w:tc>
          <w:tcPr>
            <w:tcW w:w="1737" w:type="dxa"/>
            <w:tcBorders/>
            <w:shd w:fill="CFF0FC" w:val="clear"/>
            <w:vAlign w:val="center"/>
          </w:tcPr>
          <w:p>
            <w:pPr>
              <w:pStyle w:val="TableContents"/>
              <w:bidi w:val="0"/>
              <w:spacing w:before="0" w:after="283"/>
              <w:jc w:val="left"/>
              <w:rPr>
                <w:sz w:val="4"/>
                <w:szCs w:val="4"/>
              </w:rPr>
            </w:pPr>
            <w:r>
              <w:rPr>
                <w:sz w:val="4"/>
                <w:szCs w:val="4"/>
              </w:rPr>
            </w:r>
          </w:p>
        </w:tc>
        <w:tc>
          <w:tcPr>
            <w:tcW w:w="788" w:type="dxa"/>
            <w:gridSpan w:val="4"/>
            <w:tcBorders/>
            <w:shd w:fill="CFF0FC" w:val="clear"/>
            <w:vAlign w:val="center"/>
          </w:tcPr>
          <w:p>
            <w:pPr>
              <w:pStyle w:val="TableContents"/>
              <w:bidi w:val="0"/>
              <w:spacing w:before="0" w:after="283"/>
              <w:jc w:val="left"/>
              <w:rPr>
                <w:sz w:val="4"/>
                <w:szCs w:val="4"/>
              </w:rPr>
            </w:pPr>
            <w:r>
              <w:rPr>
                <w:sz w:val="4"/>
                <w:szCs w:val="4"/>
              </w:rPr>
            </w:r>
          </w:p>
        </w:tc>
        <w:tc>
          <w:tcPr>
            <w:tcW w:w="1103" w:type="dxa"/>
            <w:gridSpan w:val="4"/>
            <w:tcBorders/>
            <w:shd w:fill="CFF0FC" w:val="clear"/>
            <w:vAlign w:val="center"/>
          </w:tcPr>
          <w:p>
            <w:pPr>
              <w:pStyle w:val="TableContents"/>
              <w:bidi w:val="0"/>
              <w:spacing w:before="0" w:after="283"/>
              <w:jc w:val="left"/>
              <w:rPr>
                <w:sz w:val="4"/>
                <w:szCs w:val="4"/>
              </w:rPr>
            </w:pPr>
            <w:r>
              <w:rPr>
                <w:sz w:val="4"/>
                <w:szCs w:val="4"/>
              </w:rPr>
            </w:r>
          </w:p>
        </w:tc>
        <w:tc>
          <w:tcPr>
            <w:tcW w:w="1619"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765" w:type="dxa"/>
            <w:gridSpan w:val="4"/>
            <w:tcBorders/>
            <w:shd w:fill="CFF0FC" w:val="clear"/>
            <w:vAlign w:val="center"/>
          </w:tcPr>
          <w:p>
            <w:pPr>
              <w:pStyle w:val="TableContents"/>
              <w:bidi w:val="0"/>
              <w:spacing w:before="0" w:after="283"/>
              <w:jc w:val="left"/>
              <w:rPr>
                <w:sz w:val="4"/>
                <w:szCs w:val="4"/>
              </w:rPr>
            </w:pPr>
            <w:r>
              <w:rPr>
                <w:sz w:val="4"/>
                <w:szCs w:val="4"/>
              </w:rPr>
            </w:r>
          </w:p>
        </w:tc>
        <w:tc>
          <w:tcPr>
            <w:tcW w:w="142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737"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Adam Dolinko(5)</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500" w:type="dxa"/>
            <w:tcBorders/>
            <w:shd w:fill="CFF0FC" w:val="clear"/>
            <w:vAlign w:val="bottom"/>
          </w:tcPr>
          <w:p>
            <w:pPr>
              <w:pStyle w:val="TableContents"/>
              <w:bidi w:val="0"/>
              <w:spacing w:before="0" w:after="283"/>
              <w:jc w:val="right"/>
              <w:rPr/>
            </w:pPr>
            <w:r>
              <w:rPr/>
              <w:t>2023</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15" w:type="dxa"/>
            <w:tcBorders/>
            <w:shd w:fill="CFF0FC" w:val="clear"/>
            <w:vAlign w:val="bottom"/>
          </w:tcPr>
          <w:p>
            <w:pPr>
              <w:pStyle w:val="TableContents"/>
              <w:bidi w:val="0"/>
              <w:spacing w:before="0" w:after="283"/>
              <w:jc w:val="right"/>
              <w:rPr/>
            </w:pPr>
            <w:r>
              <w:rPr/>
              <w:t>43,750</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77" w:type="dxa"/>
            <w:tcBorders/>
            <w:shd w:fill="CFF0FC" w:val="clear"/>
            <w:vAlign w:val="bottom"/>
          </w:tcPr>
          <w:p>
            <w:pPr>
              <w:pStyle w:val="TableContents"/>
              <w:bidi w:val="0"/>
              <w:spacing w:before="0" w:after="283"/>
              <w:jc w:val="left"/>
              <w:rPr/>
            </w:pPr>
            <w:r>
              <w:rPr/>
              <w:t> </w:t>
            </w:r>
          </w:p>
        </w:tc>
        <w:tc>
          <w:tcPr>
            <w:tcW w:w="1314" w:type="dxa"/>
            <w:tcBorders/>
            <w:shd w:fill="CFF0FC" w:val="clear"/>
            <w:vAlign w:val="bottom"/>
          </w:tcPr>
          <w:p>
            <w:pPr>
              <w:pStyle w:val="TableContents"/>
              <w:bidi w:val="0"/>
              <w:spacing w:before="0" w:after="283"/>
              <w:jc w:val="right"/>
              <w:rPr/>
            </w:pPr>
            <w:r>
              <w:rPr/>
              <w:t>3,303,819</w:t>
            </w:r>
          </w:p>
        </w:tc>
        <w:tc>
          <w:tcPr>
            <w:tcW w:w="60" w:type="dxa"/>
            <w:tcBorders/>
            <w:shd w:fill="CFF0FC" w:val="clear"/>
            <w:vAlign w:val="bottom"/>
          </w:tcPr>
          <w:p>
            <w:pPr>
              <w:pStyle w:val="TableContents"/>
              <w:bidi w:val="0"/>
              <w:spacing w:before="0" w:after="283"/>
              <w:jc w:val="left"/>
              <w:rPr/>
            </w:pPr>
            <w:r>
              <w:rPr/>
              <w:t> </w:t>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sz w:val="4"/>
                <w:szCs w:val="4"/>
              </w:rPr>
            </w:pPr>
            <w:r>
              <w:rPr>
                <w:sz w:val="4"/>
                <w:szCs w:val="4"/>
              </w:rPr>
            </w:r>
          </w:p>
        </w:tc>
        <w:tc>
          <w:tcPr>
            <w:tcW w:w="1434" w:type="dxa"/>
            <w:tcBorders/>
            <w:shd w:fill="CFF0FC" w:val="clear"/>
            <w:vAlign w:val="bottom"/>
          </w:tcPr>
          <w:p>
            <w:pPr>
              <w:pStyle w:val="TableContents"/>
              <w:bidi w:val="0"/>
              <w:spacing w:before="0" w:after="283"/>
              <w:jc w:val="left"/>
              <w:rPr>
                <w:sz w:val="4"/>
                <w:szCs w:val="4"/>
              </w:rPr>
            </w:pPr>
            <w:r>
              <w:rPr>
                <w:sz w:val="4"/>
                <w:szCs w:val="4"/>
              </w:rPr>
            </w:r>
          </w:p>
        </w:tc>
        <w:tc>
          <w:tcPr>
            <w:tcW w:w="60" w:type="dxa"/>
            <w:tcBorders/>
            <w:shd w:fill="CFF0FC" w:val="clear"/>
            <w:vAlign w:val="bottom"/>
          </w:tcPr>
          <w:p>
            <w:pPr>
              <w:pStyle w:val="TableContents"/>
              <w:bidi w:val="0"/>
              <w:spacing w:before="0" w:after="283"/>
              <w:jc w:val="left"/>
              <w:rPr>
                <w:sz w:val="4"/>
                <w:szCs w:val="4"/>
              </w:rPr>
            </w:pPr>
            <w:r>
              <w:rPr>
                <w:sz w:val="4"/>
                <w:szCs w:val="4"/>
              </w:rPr>
            </w:r>
          </w:p>
        </w:tc>
        <w:tc>
          <w:tcPr>
            <w:tcW w:w="168" w:type="dxa"/>
            <w:tcBorders/>
            <w:shd w:fill="CFF0FC" w:val="clear"/>
            <w:vAlign w:val="bottom"/>
          </w:tcPr>
          <w:p>
            <w:pPr>
              <w:pStyle w:val="TableContents"/>
              <w:bidi w:val="0"/>
              <w:spacing w:before="0" w:after="283"/>
              <w:jc w:val="left"/>
              <w:rPr/>
            </w:pPr>
            <w:r>
              <w:rPr/>
              <w:t>  </w:t>
            </w:r>
          </w:p>
        </w:tc>
        <w:tc>
          <w:tcPr>
            <w:tcW w:w="103" w:type="dxa"/>
            <w:tcBorders/>
            <w:shd w:fill="CFF0FC" w:val="clear"/>
            <w:vAlign w:val="bottom"/>
          </w:tcPr>
          <w:p>
            <w:pPr>
              <w:pStyle w:val="TableContents"/>
              <w:bidi w:val="0"/>
              <w:spacing w:before="0" w:after="283"/>
              <w:jc w:val="left"/>
              <w:rPr/>
            </w:pPr>
            <w:r>
              <w:rPr/>
              <w:t> </w:t>
            </w:r>
          </w:p>
        </w:tc>
        <w:tc>
          <w:tcPr>
            <w:tcW w:w="1434" w:type="dxa"/>
            <w:tcBorders/>
            <w:shd w:fill="CFF0FC" w:val="clear"/>
            <w:vAlign w:val="bottom"/>
          </w:tcPr>
          <w:p>
            <w:pPr>
              <w:pStyle w:val="TableContents"/>
              <w:bidi w:val="0"/>
              <w:spacing w:before="0" w:after="283"/>
              <w:jc w:val="right"/>
              <w:rPr/>
            </w:pPr>
            <w:r>
              <w:rPr/>
              <w:t>473,515</w:t>
            </w:r>
          </w:p>
        </w:tc>
        <w:tc>
          <w:tcPr>
            <w:tcW w:w="60" w:type="dxa"/>
            <w:tcBorders/>
            <w:shd w:fill="CFF0FC" w:val="clear"/>
            <w:vAlign w:val="bottom"/>
          </w:tcPr>
          <w:p>
            <w:pPr>
              <w:pStyle w:val="TableContents"/>
              <w:bidi w:val="0"/>
              <w:spacing w:before="0" w:after="283"/>
              <w:jc w:val="left"/>
              <w:rPr/>
            </w:pPr>
            <w:r>
              <w:rPr/>
              <w:t> </w:t>
            </w:r>
          </w:p>
        </w:tc>
        <w:tc>
          <w:tcPr>
            <w:tcW w:w="167"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1131" w:type="dxa"/>
            <w:tcBorders/>
            <w:shd w:fill="CFF0FC" w:val="clear"/>
            <w:vAlign w:val="bottom"/>
          </w:tcPr>
          <w:p>
            <w:pPr>
              <w:pStyle w:val="TableContents"/>
              <w:bidi w:val="0"/>
              <w:spacing w:before="0" w:after="283"/>
              <w:jc w:val="right"/>
              <w:rPr/>
            </w:pPr>
            <w:r>
              <w:rPr/>
              <w:t>3,821,084 </w:t>
            </w:r>
          </w:p>
        </w:tc>
        <w:tc>
          <w:tcPr>
            <w:tcW w:w="70" w:type="dxa"/>
            <w:tcBorders/>
            <w:shd w:fill="CFF0FC" w:val="clear"/>
            <w:vAlign w:val="bottom"/>
          </w:tcPr>
          <w:p>
            <w:pPr>
              <w:pStyle w:val="TableContents"/>
              <w:bidi w:val="0"/>
              <w:spacing w:before="0" w:after="283"/>
              <w:jc w:val="left"/>
              <w:rPr/>
            </w:pPr>
            <w:r>
              <w:rPr/>
              <w:t> </w:t>
            </w:r>
          </w:p>
        </w:tc>
      </w:tr>
      <w:tr>
        <w:trPr>
          <w:trHeight w:val="60" w:hRule="atLeast"/>
        </w:trPr>
        <w:tc>
          <w:tcPr>
            <w:tcW w:w="1737" w:type="dxa"/>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c>
          <w:tcPr>
            <w:tcW w:w="1619"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bottom w:val="single" w:sz="2" w:space="0" w:color="000000"/>
            </w:tcBorders>
            <w:tcMar>
              <w:bottom w:w="60" w:type="dxa"/>
            </w:tcMar>
          </w:tcPr>
          <w:p>
            <w:pPr>
              <w:pStyle w:val="TableContents"/>
              <w:bidi w:val="0"/>
              <w:spacing w:before="0" w:after="0"/>
              <w:jc w:val="left"/>
              <w:rPr>
                <w:rFonts w:ascii="Times New Roman" w:hAnsi="Times New Roman"/>
                <w:i/>
                <w:sz w:val="16"/>
              </w:rPr>
            </w:pPr>
            <w:r>
              <w:rPr>
                <w:rFonts w:ascii="Times New Roman" w:hAnsi="Times New Roman"/>
                <w:i/>
                <w:sz w:val="16"/>
              </w:rPr>
              <w:t>Former General Counsel and Secretary</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500" w:type="dxa"/>
            <w:tcBorders>
              <w:bottom w:val="single" w:sz="2" w:space="0" w:color="000000"/>
            </w:tcBorders>
            <w:tcMar>
              <w:bottom w:w="60" w:type="dxa"/>
            </w:tcMar>
            <w:vAlign w:val="bottom"/>
          </w:tcPr>
          <w:p>
            <w:pPr>
              <w:pStyle w:val="TableContents"/>
              <w:bidi w:val="0"/>
              <w:spacing w:before="0" w:after="283"/>
              <w:jc w:val="right"/>
              <w:rPr/>
            </w:pPr>
            <w:r>
              <w:rPr/>
              <w:t>2022</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815" w:type="dxa"/>
            <w:tcBorders>
              <w:bottom w:val="single" w:sz="2" w:space="0" w:color="000000"/>
            </w:tcBorders>
            <w:tcMar>
              <w:bottom w:w="60" w:type="dxa"/>
            </w:tcMar>
            <w:vAlign w:val="bottom"/>
          </w:tcPr>
          <w:p>
            <w:pPr>
              <w:pStyle w:val="TableContents"/>
              <w:bidi w:val="0"/>
              <w:spacing w:before="0" w:after="283"/>
              <w:jc w:val="right"/>
              <w:rPr/>
            </w:pPr>
            <w:r>
              <w:rPr/>
              <w:t>325,000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60" w:type="dxa"/>
            </w:tcMar>
            <w:vAlign w:val="bottom"/>
          </w:tcPr>
          <w:p>
            <w:pPr>
              <w:pStyle w:val="TableContents"/>
              <w:bidi w:val="0"/>
              <w:spacing w:before="0" w:after="283"/>
              <w:jc w:val="left"/>
              <w:rPr/>
            </w:pPr>
            <w:r>
              <w:rPr/>
              <w:t> </w:t>
            </w:r>
          </w:p>
        </w:tc>
        <w:tc>
          <w:tcPr>
            <w:tcW w:w="1314" w:type="dxa"/>
            <w:tcBorders>
              <w:bottom w:val="single" w:sz="2" w:space="0" w:color="000000"/>
            </w:tcBorders>
            <w:tcMar>
              <w:bottom w:w="60" w:type="dxa"/>
            </w:tcMar>
            <w:vAlign w:val="bottom"/>
          </w:tcPr>
          <w:p>
            <w:pPr>
              <w:pStyle w:val="TableContents"/>
              <w:bidi w:val="0"/>
              <w:spacing w:before="0" w:after="283"/>
              <w:jc w:val="right"/>
              <w:rPr/>
            </w:pPr>
            <w:r>
              <w:rPr/>
              <w:t>286,096</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60" w:type="dxa"/>
            </w:tcMar>
            <w:vAlign w:val="bottom"/>
          </w:tcPr>
          <w:p>
            <w:pPr>
              <w:pStyle w:val="TableContents"/>
              <w:bidi w:val="0"/>
              <w:spacing w:before="0" w:after="283"/>
              <w:jc w:val="left"/>
              <w:rPr/>
            </w:pPr>
            <w:r>
              <w:rPr/>
              <w:t> </w:t>
            </w:r>
          </w:p>
        </w:tc>
        <w:tc>
          <w:tcPr>
            <w:tcW w:w="1434" w:type="dxa"/>
            <w:tcBorders>
              <w:bottom w:val="single" w:sz="2" w:space="0" w:color="000000"/>
            </w:tcBorders>
            <w:tcMar>
              <w:bottom w:w="60" w:type="dxa"/>
            </w:tcMar>
            <w:vAlign w:val="bottom"/>
          </w:tcPr>
          <w:p>
            <w:pPr>
              <w:pStyle w:val="TableContents"/>
              <w:bidi w:val="0"/>
              <w:spacing w:before="0" w:after="283"/>
              <w:jc w:val="right"/>
              <w:rPr/>
            </w:pPr>
            <w:r>
              <w:rPr/>
              <w:t>-</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68" w:type="dxa"/>
            <w:tcBorders>
              <w:bottom w:val="single" w:sz="2" w:space="0" w:color="000000"/>
            </w:tcBorders>
            <w:tcMar>
              <w:bottom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60" w:type="dxa"/>
            </w:tcMar>
            <w:vAlign w:val="bottom"/>
          </w:tcPr>
          <w:p>
            <w:pPr>
              <w:pStyle w:val="TableContents"/>
              <w:bidi w:val="0"/>
              <w:spacing w:before="0" w:after="283"/>
              <w:jc w:val="left"/>
              <w:rPr/>
            </w:pPr>
            <w:r>
              <w:rPr/>
              <w:t> </w:t>
            </w:r>
          </w:p>
        </w:tc>
        <w:tc>
          <w:tcPr>
            <w:tcW w:w="1434" w:type="dxa"/>
            <w:tcBorders>
              <w:bottom w:val="single" w:sz="2" w:space="0" w:color="000000"/>
            </w:tcBorders>
            <w:tcMar>
              <w:bottom w:w="60" w:type="dxa"/>
            </w:tcMar>
            <w:vAlign w:val="bottom"/>
          </w:tcPr>
          <w:p>
            <w:pPr>
              <w:pStyle w:val="TableContents"/>
              <w:bidi w:val="0"/>
              <w:spacing w:before="0" w:after="283"/>
              <w:jc w:val="right"/>
              <w:rPr/>
            </w:pPr>
            <w:r>
              <w:rPr/>
              <w:t>13,000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67"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31" w:type="dxa"/>
            <w:tcBorders>
              <w:bottom w:val="single" w:sz="2" w:space="0" w:color="000000"/>
            </w:tcBorders>
            <w:tcMar>
              <w:bottom w:w="60" w:type="dxa"/>
            </w:tcMar>
            <w:vAlign w:val="bottom"/>
          </w:tcPr>
          <w:p>
            <w:pPr>
              <w:pStyle w:val="TableContents"/>
              <w:bidi w:val="0"/>
              <w:spacing w:before="0" w:after="283"/>
              <w:jc w:val="right"/>
              <w:rPr/>
            </w:pPr>
            <w:r>
              <w:rPr/>
              <w:t>624,096 </w:t>
            </w:r>
          </w:p>
        </w:tc>
        <w:tc>
          <w:tcPr>
            <w:tcW w:w="70"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For Messrs. Pacala, Weinswig and Spencer, amounts reflect the full grant-date fair value of stock awards granted during fiscal 2023 computed in accordance with ASC Topic 718. For Ms. Brunelle and Mr. Dolinko, amounts reflect the incremental fair value of stock awards attributable to accelerated vesting of their RSUs in connection with their termination of service computed in accordance with ASC Topic 718. We provide information regarding the assumptions used to calculate the value of all stock awards made to named executive officers in Note 11 of our financial statements included in our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For Messrs. Pacala, Weinswig and Spencer, amounts reported for fiscal 2023 constitute 401(k) employer matching contributions. For Ms. Brunelle, the amount represents: (i) $2,500 in 401(k) employer matching contributions; (ii) $344,563 in cash severance payments;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(iii) $31,250 in accrued but unused paid time off paid in connection with her termination of service; and (iv) $18,000 estimated COBRA premiums paid in connection with her termination of service. For Mr. Dolinko, the amount represents: (i) $1,750 in 401(k) employer matching contributions; (ii) $422,500 in cash severance payments; (iii) $25,265 in accrued but unused paid time off paid in connection with his termination of service; and (iv) $24,000 estimated COBRA premiums paid in connection with her termination of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Mr. Weinswig commenced employment with us on February 10, 2023 in connection with the closing of our merger with Velodyne.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Brunelle ceased serving as our Chief Financial Officer on February 10, 2023 in connection with the closing of our merger with Velodyne, and she continued employment with us as an advisor through May 17,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Mr. Dolinkos service with the Company terminated on February 10, 2023 in connection with the closing of our merger with Velodyne.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bidi w:val="0"/>
        <w:spacing w:before="240" w:after="0"/>
        <w:jc w:val="left"/>
        <w:rPr>
          <w:rFonts w:ascii="Times New Roman" w:hAnsi="Times New Roman"/>
          <w:b/>
          <w:i/>
          <w:sz w:val="20"/>
        </w:rPr>
      </w:pPr>
      <w:r>
        <w:rPr>
          <w:rFonts w:ascii="Times New Roman" w:hAnsi="Times New Roman"/>
          <w:b/>
          <w:i/>
          <w:sz w:val="20"/>
        </w:rPr>
        <w:t xml:space="preserve">2023 Annual Base Salaries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w:t>
      </w:r>
    </w:p>
    <w:p>
      <w:pPr>
        <w:pStyle w:val="TextBody"/>
        <w:bidi w:val="0"/>
        <w:spacing w:before="240" w:after="0"/>
        <w:jc w:val="both"/>
        <w:rPr>
          <w:rFonts w:ascii="Times New Roman" w:hAnsi="Times New Roman"/>
          <w:sz w:val="20"/>
        </w:rPr>
      </w:pPr>
      <w:r>
        <w:rPr>
          <w:rFonts w:ascii="Times New Roman" w:hAnsi="Times New Roman"/>
          <w:sz w:val="20"/>
        </w:rPr>
        <w:t xml:space="preserve">We retain the discretion to increase the annual base salaries of our named executive officers from time to time. Accordingly, effective as of April 1, 2023, following the completion of our merger with Velodyne, Mr. Pacalas annual base salary was increased from $180,000 to $400,000, Mr. Weinswigs annual base salary remained $370,000 and Mr. Spencers annual base salary was increased from $325,000 to $350,000. The adjustments were made following our compensation committees review of market data on compensation. </w:t>
      </w:r>
    </w:p>
    <w:p>
      <w:pPr>
        <w:pStyle w:val="TextBody"/>
        <w:bidi w:val="0"/>
        <w:spacing w:before="240" w:after="0"/>
        <w:jc w:val="both"/>
        <w:rPr>
          <w:rFonts w:ascii="Times New Roman" w:hAnsi="Times New Roman"/>
          <w:sz w:val="20"/>
        </w:rPr>
      </w:pPr>
      <w:r>
        <w:rPr>
          <w:rFonts w:ascii="Times New Roman" w:hAnsi="Times New Roman"/>
          <w:sz w:val="20"/>
        </w:rPr>
        <w:t xml:space="preserve">In the third quarter of 2023, in connection with our reduction in force, Mr. Pacalas annual base salary was temporarily reduced by 50%, to $200,000, Mr. Weinswigs annual base salary was reduced by 10%, to $333,000, and Mr. Spencers annual salary was reduced by 10% to $315,000. In early 2024, our compensation committee eliminated the temporary base salary reductions and, after its review of our financial performance for 2023, retroactively reversed the temporary base salary reductions. The amounts included in the 2023 Summary Compensation Table reflect the full base salary earned by each named executive officer after giving effect to the reversal of the temporary base salary reductions.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Short-Term Incentive Compensation </w:t>
      </w:r>
    </w:p>
    <w:p>
      <w:pPr>
        <w:pStyle w:val="TextBody"/>
        <w:bidi w:val="0"/>
        <w:spacing w:before="120" w:after="0"/>
        <w:jc w:val="both"/>
        <w:rPr>
          <w:rFonts w:ascii="Times New Roman" w:hAnsi="Times New Roman"/>
          <w:sz w:val="20"/>
        </w:rPr>
      </w:pPr>
      <w:r>
        <w:rPr>
          <w:rFonts w:ascii="Times New Roman" w:hAnsi="Times New Roman"/>
          <w:sz w:val="20"/>
        </w:rPr>
        <w:t xml:space="preserve">For 2023, each of our executive officers was eligible to earn performance-based, short-term incentive compensation based on pre-set quantitative performance goals. In March 2023, our compensation committee established Mr. Pacalas target bonus opportunity for 2023 at 100% of his annual base salary, Mr. Weinswigs target bonus opportunity for 2023 at 60% of his annual base salary and Mr. Spencers target bonus opportunity for 2023 at 50% of his annual base salary. In early 2023, our compensation committee also established certain financial metrics as the performance goals for the short-term incentive compensation plan. In May 2023, the financial metrics under the short-term incentive compensation plan were revised to be consistent with the Companys change in strategy. </w:t>
      </w:r>
    </w:p>
    <w:p>
      <w:pPr>
        <w:pStyle w:val="TextBody"/>
        <w:bidi w:val="0"/>
        <w:spacing w:before="240" w:after="0"/>
        <w:jc w:val="both"/>
        <w:rPr>
          <w:rFonts w:ascii="Times New Roman" w:hAnsi="Times New Roman"/>
          <w:sz w:val="20"/>
        </w:rPr>
      </w:pPr>
      <w:r>
        <w:rPr>
          <w:rFonts w:ascii="Times New Roman" w:hAnsi="Times New Roman"/>
          <w:sz w:val="20"/>
        </w:rPr>
        <w:t xml:space="preserve">In July 2023, Mr. Pacalas target bonus opportunity for the third and fourth fiscal quarters was reduced by 100%, to zero, and Messrs. Weinswigs and Spencers target bonus opportunities were reduced by 10% for the third and fourth fiscal quarters. In early 2024, each of the named executive officers target bonus opportunity was retroactively restored, and our compensation committee determined that the financial metrics were achieved at 109%. The bonuses set forth in the 2023 Summary Compensation Table were paid in cash in April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grant equity awards, typically comprised of restricted stock units, to our employees, including our named executive officers, in order to attract and retain them, as well as to align their interests with the interests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March 2023, our compensation committee granted Mr. Pacala 37,500 restricted stock units, and each of Mr. Weinswig and Mr. Spencer 112,000 restricted stock units, in each case, after giving effect to our 1 for 10 reverse stock split completed on April 21, 2023. Mr. Pacalas grant vests as to 100% of the restricted stock units on the first anniversary of the grant date, subject to continued service to us through the vesting date. Our compensation committee sized Mr. Pacalas grant in line with its one-year vesting schedule in order to conserve shares under our 2021 Incentive Award Plan and manage dilution. Mr. Weinswigs and Mr. Spencers grants vest in equal quarterly installments over four years, subject to continued service to us through the applicable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Other Elements of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Savings and Health and Welfare Benefits </w:t>
      </w:r>
    </w:p>
    <w:p>
      <w:pPr>
        <w:pStyle w:val="TextBody"/>
        <w:bidi w:val="0"/>
        <w:spacing w:before="120" w:after="0"/>
        <w:jc w:val="both"/>
        <w:rPr>
          <w:rFonts w:ascii="Times New Roman" w:hAnsi="Times New Roman"/>
          <w:sz w:val="20"/>
        </w:rPr>
      </w:pPr>
      <w:r>
        <w:rPr>
          <w:rFonts w:ascii="Times New Roman" w:hAnsi="Times New Roman"/>
          <w:sz w:val="20"/>
        </w:rPr>
        <w:t xml:space="preserve">We maintain a 401(k) retirement savings plan for our employees, including our named executive officers, who satisfy certain eligibility requirements. Our named executive officers are eligible to participate in the 401(k) plan 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bidi w:val="0"/>
        <w:spacing w:before="240" w:after="0"/>
        <w:jc w:val="both"/>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 and Other Personal Benefits </w:t>
      </w:r>
    </w:p>
    <w:p>
      <w:pPr>
        <w:pStyle w:val="TextBody"/>
        <w:bidi w:val="0"/>
        <w:spacing w:before="120" w:after="0"/>
        <w:jc w:val="both"/>
        <w:rPr>
          <w:rFonts w:ascii="Times New Roman" w:hAnsi="Times New Roman"/>
          <w:sz w:val="20"/>
        </w:rPr>
      </w:pPr>
      <w:r>
        <w:rPr>
          <w:rFonts w:ascii="Times New Roman" w:hAnsi="Times New Roman"/>
          <w:sz w:val="20"/>
        </w:rPr>
        <w:t xml:space="preserve">We determine perquisites on a case-by-case basis and will provide a perquisite to a named executive officer when we believe it is necessary to attract or retain the named executive officer. We did not provide any perquisites or personal benefits to our named executive officers not otherwise made available to other employees in 2023.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2023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2023. All amounts in the table are reported after giving effect to our 1 for 10 reverse stock split completed on April 21,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3"/>
        <w:gridCol w:w="77"/>
        <w:gridCol w:w="1675"/>
        <w:gridCol w:w="77"/>
        <w:gridCol w:w="88"/>
        <w:gridCol w:w="1179"/>
        <w:gridCol w:w="60"/>
        <w:gridCol w:w="77"/>
        <w:gridCol w:w="117"/>
        <w:gridCol w:w="1331"/>
        <w:gridCol w:w="60"/>
        <w:gridCol w:w="77"/>
        <w:gridCol w:w="84"/>
        <w:gridCol w:w="792"/>
        <w:gridCol w:w="60"/>
        <w:gridCol w:w="76"/>
        <w:gridCol w:w="64"/>
        <w:gridCol w:w="1051"/>
        <w:gridCol w:w="60"/>
        <w:gridCol w:w="77"/>
        <w:gridCol w:w="79"/>
        <w:gridCol w:w="904"/>
        <w:gridCol w:w="60"/>
        <w:gridCol w:w="77"/>
        <w:gridCol w:w="75"/>
        <w:gridCol w:w="1074"/>
        <w:gridCol w:w="71"/>
      </w:tblGrid>
      <w:tr>
        <w:trPr/>
        <w:tc>
          <w:tcPr>
            <w:tcW w:w="783"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78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116"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26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Stock Awards</w:t>
            </w:r>
          </w:p>
        </w:tc>
        <w:tc>
          <w:tcPr>
            <w:tcW w:w="71" w:type="dxa"/>
            <w:tcBorders/>
            <w:vAlign w:val="bottom"/>
          </w:tcPr>
          <w:p>
            <w:pPr>
              <w:pStyle w:val="TableContents"/>
              <w:bidi w:val="0"/>
              <w:spacing w:before="0" w:after="283"/>
              <w:jc w:val="left"/>
              <w:rPr/>
            </w:pPr>
            <w:r>
              <w:rPr/>
              <w:t> </w:t>
            </w:r>
          </w:p>
        </w:tc>
      </w:tr>
      <w:tr>
        <w:trPr>
          <w:trHeight w:val="12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tcMar>
              <w:bottom w:w="60" w:type="dxa"/>
            </w:tcMar>
            <w:vAlign w:val="bottom"/>
          </w:tcPr>
          <w:p>
            <w:pPr>
              <w:pStyle w:val="TableContents"/>
              <w:bidi w:val="0"/>
              <w:spacing w:before="0" w:after="0"/>
              <w:jc w:val="center"/>
              <w:rPr>
                <w:rFonts w:ascii="Times New Roman" w:hAnsi="Times New Roman"/>
                <w:b/>
                <w:sz w:val="18"/>
              </w:rPr>
            </w:pPr>
            <w:r>
              <w:rPr>
                <w:rFonts w:ascii="Times New Roman" w:hAnsi="Times New Roman"/>
                <w:b/>
                <w:sz w:val="18"/>
              </w:rPr>
              <w:t>Name</w:t>
            </w:r>
          </w:p>
          <w:p>
            <w:pPr>
              <w:pStyle w:val="TableContents"/>
              <w:bidi w:val="0"/>
              <w:spacing w:before="0" w:after="20"/>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1675" w:type="dxa"/>
            <w:tcBorders>
              <w:bottom w:val="single" w:sz="2" w:space="0" w:color="000000"/>
            </w:tcBorders>
            <w:tcMar>
              <w:bottom w:w="60" w:type="dxa"/>
            </w:tcMar>
            <w:vAlign w:val="bottom"/>
          </w:tcPr>
          <w:p>
            <w:pPr>
              <w:pStyle w:val="TableContents"/>
              <w:bidi w:val="0"/>
              <w:spacing w:before="0" w:after="283"/>
              <w:jc w:val="center"/>
              <w:rPr>
                <w:b/>
              </w:rPr>
            </w:pPr>
            <w:r>
              <w:rPr>
                <w:b/>
              </w:rPr>
              <w:t>Vesting</w:t>
              <w:br/>
              <w:t>Commencement</w:t>
              <w:br/>
              <w:t>Date</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126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Number</w:t>
              <w:br/>
              <w:t>of</w:t>
              <w:br/>
              <w:t>Securities</w:t>
              <w:br/>
              <w:t>Underlying</w:t>
              <w:br/>
              <w:t>Unexercised</w:t>
              <w:br/>
              <w:t>Options</w:t>
              <w:br/>
              <w:t>(#)</w:t>
              <w:br/>
              <w:t>Exercisable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1448" w:type="dxa"/>
            <w:gridSpan w:val="2"/>
            <w:tcBorders>
              <w:bottom w:val="single" w:sz="2" w:space="0" w:color="000000"/>
            </w:tcBorders>
            <w:tcMar>
              <w:bottom w:w="60" w:type="dxa"/>
            </w:tcMar>
            <w:vAlign w:val="bottom"/>
          </w:tcPr>
          <w:p>
            <w:pPr>
              <w:pStyle w:val="TableContents"/>
              <w:bidi w:val="0"/>
              <w:spacing w:before="0" w:after="283"/>
              <w:jc w:val="center"/>
              <w:rPr>
                <w:b/>
              </w:rPr>
            </w:pPr>
            <w:r>
              <w:rPr>
                <w:b/>
              </w:rPr>
              <w:t>Number of</w:t>
              <w:br/>
              <w:t>Securities</w:t>
              <w:br/>
              <w:t>Underlying</w:t>
              <w:br/>
              <w:t>Unexercised</w:t>
              <w:br/>
              <w:t>Options</w:t>
              <w:br/>
              <w:t>(#)</w:t>
              <w:br/>
              <w:t>Unexercisable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876" w:type="dxa"/>
            <w:gridSpan w:val="2"/>
            <w:tcBorders>
              <w:bottom w:val="single" w:sz="2" w:space="0" w:color="000000"/>
            </w:tcBorders>
            <w:tcMar>
              <w:bottom w:w="60" w:type="dxa"/>
            </w:tcMar>
            <w:vAlign w:val="bottom"/>
          </w:tcPr>
          <w:p>
            <w:pPr>
              <w:pStyle w:val="TableContents"/>
              <w:bidi w:val="0"/>
              <w:spacing w:before="0" w:after="283"/>
              <w:jc w:val="center"/>
              <w:rPr>
                <w:b/>
              </w:rPr>
            </w:pPr>
            <w:r>
              <w:rPr>
                <w:b/>
              </w:rPr>
              <w:t>Per</w:t>
              <w:br/>
              <w:t>Share</w:t>
              <w:br/>
              <w:t>Option</w:t>
              <w:br/>
              <w:t>Exercise</w:t>
              <w:br/>
              <w:t>Price</w:t>
              <w:b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1115" w:type="dxa"/>
            <w:gridSpan w:val="2"/>
            <w:tcBorders>
              <w:bottom w:val="single" w:sz="2" w:space="0" w:color="000000"/>
            </w:tcBorders>
            <w:tcMar>
              <w:bottom w:w="60" w:type="dxa"/>
            </w:tcMar>
            <w:vAlign w:val="bottom"/>
          </w:tcPr>
          <w:p>
            <w:pPr>
              <w:pStyle w:val="TableContents"/>
              <w:bidi w:val="0"/>
              <w:spacing w:before="0" w:after="283"/>
              <w:jc w:val="center"/>
              <w:rPr>
                <w:b/>
              </w:rPr>
            </w:pPr>
            <w:r>
              <w:rPr>
                <w:b/>
              </w:rPr>
              <w:t>Option</w:t>
              <w:br/>
              <w:t>Expiration</w:t>
              <w:b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983" w:type="dxa"/>
            <w:gridSpan w:val="2"/>
            <w:tcBorders>
              <w:bottom w:val="single" w:sz="2" w:space="0" w:color="000000"/>
            </w:tcBorders>
            <w:tcMar>
              <w:bottom w:w="60" w:type="dxa"/>
            </w:tcMar>
            <w:vAlign w:val="bottom"/>
          </w:tcPr>
          <w:p>
            <w:pPr>
              <w:pStyle w:val="TableContents"/>
              <w:bidi w:val="0"/>
              <w:spacing w:before="0" w:after="283"/>
              <w:jc w:val="center"/>
              <w:rPr>
                <w:b/>
              </w:rPr>
            </w:pPr>
            <w:r>
              <w:rPr>
                <w:b/>
              </w:rPr>
              <w:t>Number</w:t>
              <w:br/>
              <w:t>of Shares</w:t>
              <w:br/>
              <w:t>or Units</w:t>
              <w:br/>
              <w:t>of Stock</w:t>
              <w:br/>
              <w:t>That</w:t>
              <w:br/>
              <w:t>Have Not</w:t>
              <w:br/>
              <w:t>Vested</w:t>
              <w:b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1149" w:type="dxa"/>
            <w:gridSpan w:val="2"/>
            <w:tcBorders>
              <w:bottom w:val="single" w:sz="2" w:space="0" w:color="000000"/>
            </w:tcBorders>
            <w:tcMar>
              <w:bottom w:w="60" w:type="dxa"/>
            </w:tcMar>
            <w:vAlign w:val="bottom"/>
          </w:tcPr>
          <w:p>
            <w:pPr>
              <w:pStyle w:val="TableContents"/>
              <w:bidi w:val="0"/>
              <w:spacing w:before="0" w:after="283"/>
              <w:jc w:val="center"/>
              <w:rPr>
                <w:b/>
              </w:rPr>
            </w:pPr>
            <w:r>
              <w:rPr>
                <w:b/>
              </w:rPr>
              <w:t>Market</w:t>
              <w:br/>
              <w:t>Value of</w:t>
              <w:br/>
              <w:t>Shares or</w:t>
              <w:br/>
              <w:t>Units of</w:t>
              <w:br/>
              <w:t>Stock That</w:t>
              <w:br/>
              <w:t>Have Not</w:t>
              <w:br/>
              <w:t>Vested</w:t>
              <w:br/>
              <w:t>($)(1)</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Angus Pacala</w:t>
            </w:r>
          </w:p>
        </w:tc>
        <w:tc>
          <w:tcPr>
            <w:tcW w:w="77"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center"/>
              <w:rPr/>
            </w:pPr>
            <w:r>
              <w:rPr/>
              <w:t>10/2/2020(2)</w:t>
            </w:r>
          </w:p>
        </w:tc>
        <w:tc>
          <w:tcPr>
            <w:tcW w:w="7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435,976</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10/1/2030</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center"/>
              <w:rPr/>
            </w:pPr>
            <w:r>
              <w:rPr/>
              <w:t>10/2/2020 (3)</w:t>
            </w:r>
          </w:p>
        </w:tc>
        <w:tc>
          <w:tcPr>
            <w:tcW w:w="7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345,147</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90,828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14.22</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10/1/2030</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shd w:fill="CCEEFF" w:val="clear"/>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center"/>
              <w:rPr/>
            </w:pPr>
            <w:r>
              <w:rPr/>
              <w:t>3/16/2023 (4)</w:t>
            </w:r>
          </w:p>
        </w:tc>
        <w:tc>
          <w:tcPr>
            <w:tcW w:w="7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37,500</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287,625 </w:t>
            </w:r>
          </w:p>
        </w:tc>
        <w:tc>
          <w:tcPr>
            <w:tcW w:w="71" w:type="dxa"/>
            <w:tcBorders/>
            <w:shd w:fill="CCEEFF" w:val="clear"/>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0"/>
              <w:jc w:val="left"/>
              <w:rPr>
                <w:rFonts w:ascii="Times New Roman" w:hAnsi="Times New Roman"/>
                <w:sz w:val="16"/>
              </w:rPr>
            </w:pPr>
            <w:r>
              <w:rPr>
                <w:rFonts w:ascii="Times New Roman" w:hAnsi="Times New Roman"/>
                <w:sz w:val="16"/>
              </w:rPr>
              <w:t>Mark Weinswig</w:t>
            </w:r>
          </w:p>
        </w:tc>
        <w:tc>
          <w:tcPr>
            <w:tcW w:w="77"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center"/>
              <w:rPr/>
            </w:pPr>
            <w:r>
              <w:rPr/>
              <w:t>5/28/2022(5)</w:t>
            </w:r>
          </w:p>
        </w:tc>
        <w:tc>
          <w:tcPr>
            <w:tcW w:w="7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14,383</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110,318 </w:t>
            </w:r>
          </w:p>
        </w:tc>
        <w:tc>
          <w:tcPr>
            <w:tcW w:w="71" w:type="dxa"/>
            <w:tcBorders/>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shd w:fill="CCEEFF" w:val="clear"/>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center"/>
              <w:rPr/>
            </w:pPr>
            <w:r>
              <w:rPr/>
              <w:t>5/28/2022 (6)</w:t>
            </w:r>
          </w:p>
        </w:tc>
        <w:tc>
          <w:tcPr>
            <w:tcW w:w="7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35,801</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274,594 </w:t>
            </w:r>
          </w:p>
        </w:tc>
        <w:tc>
          <w:tcPr>
            <w:tcW w:w="71" w:type="dxa"/>
            <w:tcBorders/>
            <w:shd w:fill="CCEEFF" w:val="clear"/>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center"/>
              <w:rPr/>
            </w:pPr>
            <w:r>
              <w:rPr/>
              <w:t>3/16/2023 (7)</w:t>
            </w:r>
          </w:p>
        </w:tc>
        <w:tc>
          <w:tcPr>
            <w:tcW w:w="7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91,000</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697,970 </w:t>
            </w:r>
          </w:p>
        </w:tc>
        <w:tc>
          <w:tcPr>
            <w:tcW w:w="71" w:type="dxa"/>
            <w:tcBorders/>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Darien Spencer</w:t>
            </w:r>
          </w:p>
        </w:tc>
        <w:tc>
          <w:tcPr>
            <w:tcW w:w="77"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center"/>
              <w:rPr/>
            </w:pPr>
            <w:r>
              <w:rPr/>
              <w:t>3/15/2021(7)</w:t>
            </w:r>
          </w:p>
        </w:tc>
        <w:tc>
          <w:tcPr>
            <w:tcW w:w="7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3,428</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26,293 </w:t>
            </w:r>
          </w:p>
        </w:tc>
        <w:tc>
          <w:tcPr>
            <w:tcW w:w="71" w:type="dxa"/>
            <w:tcBorders/>
            <w:shd w:fill="CCEEFF" w:val="clear"/>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center"/>
              <w:rPr/>
            </w:pPr>
            <w:r>
              <w:rPr/>
              <w:t>3/11/2022 (8)</w:t>
            </w:r>
          </w:p>
        </w:tc>
        <w:tc>
          <w:tcPr>
            <w:tcW w:w="7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11,458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87,883 </w:t>
            </w:r>
          </w:p>
        </w:tc>
        <w:tc>
          <w:tcPr>
            <w:tcW w:w="71" w:type="dxa"/>
            <w:tcBorders/>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shd w:fill="CCEEFF" w:val="clear"/>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center"/>
              <w:rPr/>
            </w:pPr>
            <w:r>
              <w:rPr/>
              <w:t>8/10/2022 (8)</w:t>
            </w:r>
          </w:p>
        </w:tc>
        <w:tc>
          <w:tcPr>
            <w:tcW w:w="7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9,057</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69,467 </w:t>
            </w:r>
          </w:p>
        </w:tc>
        <w:tc>
          <w:tcPr>
            <w:tcW w:w="71" w:type="dxa"/>
            <w:tcBorders/>
            <w:shd w:fill="CCEEFF" w:val="clear"/>
            <w:vAlign w:val="bottom"/>
          </w:tcPr>
          <w:p>
            <w:pPr>
              <w:pStyle w:val="TableContents"/>
              <w:bidi w:val="0"/>
              <w:spacing w:before="0" w:after="283"/>
              <w:jc w:val="left"/>
              <w:rPr/>
            </w:pPr>
            <w:r>
              <w:rPr/>
              <w:t> </w:t>
            </w:r>
          </w:p>
        </w:tc>
      </w:tr>
      <w:tr>
        <w:trPr>
          <w:trHeight w:val="60" w:hRule="atLeast"/>
        </w:trPr>
        <w:tc>
          <w:tcPr>
            <w:tcW w:w="783" w:type="dxa"/>
            <w:tcBorders/>
            <w:vAlign w:val="center"/>
          </w:tcPr>
          <w:p>
            <w:pPr>
              <w:pStyle w:val="TableContents"/>
              <w:bidi w:val="0"/>
              <w:spacing w:before="0" w:after="283"/>
              <w:jc w:val="left"/>
              <w:rPr>
                <w:sz w:val="4"/>
                <w:szCs w:val="4"/>
              </w:rPr>
            </w:pPr>
            <w:r>
              <w:rPr>
                <w:sz w:val="4"/>
                <w:szCs w:val="4"/>
              </w:rPr>
            </w:r>
          </w:p>
        </w:tc>
        <w:tc>
          <w:tcPr>
            <w:tcW w:w="1752" w:type="dxa"/>
            <w:gridSpan w:val="2"/>
            <w:tcBorders/>
            <w:vAlign w:val="center"/>
          </w:tcPr>
          <w:p>
            <w:pPr>
              <w:pStyle w:val="TableContents"/>
              <w:bidi w:val="0"/>
              <w:spacing w:before="0" w:after="283"/>
              <w:jc w:val="left"/>
              <w:rPr>
                <w:sz w:val="4"/>
                <w:szCs w:val="4"/>
              </w:rPr>
            </w:pPr>
            <w:r>
              <w:rPr>
                <w:sz w:val="4"/>
                <w:szCs w:val="4"/>
              </w:rPr>
            </w:r>
          </w:p>
        </w:tc>
        <w:tc>
          <w:tcPr>
            <w:tcW w:w="1404"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c>
          <w:tcPr>
            <w:tcW w:w="1251"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tcMar>
              <w:bottom w:w="28" w:type="dxa"/>
            </w:tcMar>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1675" w:type="dxa"/>
            <w:tcBorders>
              <w:bottom w:val="single" w:sz="2" w:space="0" w:color="000000"/>
            </w:tcBorders>
            <w:tcMar>
              <w:bottom w:w="60" w:type="dxa"/>
            </w:tcMar>
            <w:vAlign w:val="bottom"/>
          </w:tcPr>
          <w:p>
            <w:pPr>
              <w:pStyle w:val="TableContents"/>
              <w:bidi w:val="0"/>
              <w:spacing w:before="0" w:after="283"/>
              <w:jc w:val="center"/>
              <w:rPr/>
            </w:pPr>
            <w:r>
              <w:rPr/>
              <w:t>3/16/2023 (7)</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117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792"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c>
          <w:tcPr>
            <w:tcW w:w="105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79" w:type="dxa"/>
            <w:tcBorders>
              <w:bottom w:val="single" w:sz="2" w:space="0" w:color="000000"/>
            </w:tcBorders>
            <w:tcMar>
              <w:bottom w:w="60" w:type="dxa"/>
            </w:tcMar>
            <w:vAlign w:val="bottom"/>
          </w:tcPr>
          <w:p>
            <w:pPr>
              <w:pStyle w:val="TableContents"/>
              <w:bidi w:val="0"/>
              <w:spacing w:before="0" w:after="283"/>
              <w:jc w:val="left"/>
              <w:rPr/>
            </w:pPr>
            <w:r>
              <w:rPr/>
              <w:t> </w:t>
            </w:r>
          </w:p>
        </w:tc>
        <w:tc>
          <w:tcPr>
            <w:tcW w:w="904" w:type="dxa"/>
            <w:tcBorders>
              <w:bottom w:val="single" w:sz="2" w:space="0" w:color="000000"/>
            </w:tcBorders>
            <w:tcMar>
              <w:bottom w:w="60" w:type="dxa"/>
            </w:tcMar>
            <w:vAlign w:val="bottom"/>
          </w:tcPr>
          <w:p>
            <w:pPr>
              <w:pStyle w:val="TableContents"/>
              <w:bidi w:val="0"/>
              <w:spacing w:before="0" w:after="283"/>
              <w:jc w:val="right"/>
              <w:rPr/>
            </w:pPr>
            <w:r>
              <w:rPr/>
              <w:t>91,000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75" w:type="dxa"/>
            <w:tcBorders>
              <w:bottom w:val="single" w:sz="2" w:space="0" w:color="000000"/>
            </w:tcBorders>
            <w:tcMar>
              <w:bottom w:w="60" w:type="dxa"/>
            </w:tcMar>
            <w:vAlign w:val="bottom"/>
          </w:tcPr>
          <w:p>
            <w:pPr>
              <w:pStyle w:val="TableContents"/>
              <w:bidi w:val="0"/>
              <w:spacing w:before="0" w:after="283"/>
              <w:jc w:val="left"/>
              <w:rPr/>
            </w:pPr>
            <w:r>
              <w:rPr/>
              <w:t> </w:t>
            </w:r>
          </w:p>
        </w:tc>
        <w:tc>
          <w:tcPr>
            <w:tcW w:w="1074" w:type="dxa"/>
            <w:tcBorders>
              <w:bottom w:val="single" w:sz="2" w:space="0" w:color="000000"/>
            </w:tcBorders>
            <w:tcMar>
              <w:bottom w:w="60" w:type="dxa"/>
            </w:tcMar>
            <w:vAlign w:val="bottom"/>
          </w:tcPr>
          <w:p>
            <w:pPr>
              <w:pStyle w:val="TableContents"/>
              <w:bidi w:val="0"/>
              <w:spacing w:before="0" w:after="283"/>
              <w:jc w:val="right"/>
              <w:rPr/>
            </w:pPr>
            <w:r>
              <w:rPr/>
              <w:t>697,970 </w:t>
            </w:r>
          </w:p>
        </w:tc>
        <w:tc>
          <w:tcPr>
            <w:tcW w:w="71"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Amounts calculated based on the $7.67 closing trading price of our common stock as of December 29,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This option vests in substantially equal monthly installments through the fourth anniversary of the vesting commencement date. In the event executives employment with the Company is terminated by the Company without cause or the executive resigns for good reason, any then unvested shares will become fully vested. The option may be exercised by the executive prior to vesting, with any unvested shares subject to repurchase by us at the original exercise price in the event of a termination of the executives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This option vests in substantially equal monthly installments through the fourth anniversary of the vesting commencement date. In the event executives employment with the Company is terminated by the Company without cause or the executive resigns for good reason, any then unvested shares will become fully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100% of the restricted stock units underlying the award will vest on the first anniversary of the vesting commencement date,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 day period immediately before or twelve month period immediately following a change of control, the vesting of 100% of the restricted stock units will fully vest.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Restricted stock vests as to 25% of the shares on the first anniversary of the vesting commencement date and in substantially equal quarterly installments thereafter through the fourth anniversary of the vesting commencement date, subject to continued service with us through the applicable vesting date. In the event executives employment with the Company is terminated by the Company without cause or the executive resigns for good reason, in each case, within 12 months after our merger with Velodyne, which occurred on February 10, 2023, then any unvested shares will become fully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Restricted stock vests in substantially equal annual installments through the third anniversary of the vesting commencement date, subject to continued service with us through the applicable vesting date. In the event executives employment with the Company is terminated by the Company without cause or the executive resigns for good reason, in each case, within 12 months after our merger with Velodyne, which occurred on February 10, 2023, then any unvested shares will become fully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Restricted stock units vest in substantially equal quarterly installments through the fourth anniversary of the vesting commencement date, subject to the named executive officers continued service to the Company through the applicable vesting date. In the event the named executive officers employment is terminated by the Company without cause or the named executive officer resigns for good reason, in each case, within the ninety-day period immediately before or twelve-month period immediately following a change of control, the vesting of 100% of the restricted stock units will fully vest.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Restricted stock units vest in substantially equal quarterly installments through the third anniversary of the vesting commencement date, subject to the named executive officers continued service to the Company through the applicable vesting date. In the event the named executive officers employment is terminated by the Company without cause or the named executive officer resigns for good reason, in each case, within the ninety-day period immediately before or twelve-month period immediately following a change in control, which includes our merger with Velodyne, 100% of the restricted stock units will fully vest.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Employment and Severance Arrangements </w:t>
      </w:r>
    </w:p>
    <w:p>
      <w:pPr>
        <w:pStyle w:val="TextBody"/>
        <w:bidi w:val="0"/>
        <w:spacing w:before="120" w:after="0"/>
        <w:jc w:val="both"/>
        <w:rPr>
          <w:rFonts w:ascii="Times New Roman" w:hAnsi="Times New Roman"/>
          <w:sz w:val="20"/>
        </w:rPr>
      </w:pPr>
      <w:r>
        <w:rPr>
          <w:rFonts w:ascii="Times New Roman" w:hAnsi="Times New Roman"/>
          <w:sz w:val="20"/>
        </w:rPr>
        <w:t xml:space="preserve">We previously entered into employment offer letter agreements with Mr. Pacala and Mr. Spencer, and Velodyne entered into an employment agreement with Mr. Weinswig that we assumed. These agreements set forth the terms and conditions of employment of each such named executive officer, including initial base salary, target bonus opportunity (if any), and initial equity grants and employee benefits eligibility. The agreements do not provide for severance or other payments in connection with a termination of employment or change in control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Velodyne entered into a severance and change in control agreement with Mr. Weinswig that we assumed in connection with our merger with Velodyne. Under the severance and change in control agreement, Mr. Weinswig is eligible to receive (i) 12 months of the his base salary, (ii) annual target bonus, (iii) Company-subsidized COBRA premiums for 12 months and (iv) full vesting acceleration of all equity awards, in each case, in the event his employment with us is terminated without cause or he resigns for good reason, in each case, within the period ending 12 months after the closing of our merger with Velodyne, which occurred on February 10, 2023. </w:t>
      </w:r>
    </w:p>
    <w:p>
      <w:pPr>
        <w:pStyle w:val="TextBody"/>
        <w:bidi w:val="0"/>
        <w:spacing w:before="240" w:after="0"/>
        <w:jc w:val="both"/>
        <w:rPr>
          <w:rFonts w:ascii="Times New Roman" w:hAnsi="Times New Roman"/>
          <w:sz w:val="20"/>
        </w:rPr>
      </w:pPr>
      <w:r>
        <w:rPr>
          <w:rFonts w:ascii="Times New Roman" w:hAnsi="Times New Roman"/>
          <w:sz w:val="20"/>
        </w:rPr>
        <w:t xml:space="preserve">Each of the other NEOs became eligible for the same severance benefits on the same terms and conditions in connection with the Velodyne merger. </w:t>
      </w:r>
    </w:p>
    <w:p>
      <w:pPr>
        <w:pStyle w:val="TextBody"/>
        <w:bidi w:val="0"/>
        <w:spacing w:before="240" w:after="0"/>
        <w:jc w:val="both"/>
        <w:rPr>
          <w:rFonts w:ascii="Times New Roman" w:hAnsi="Times New Roman"/>
          <w:sz w:val="20"/>
        </w:rPr>
      </w:pPr>
      <w:r>
        <w:rPr>
          <w:rFonts w:ascii="Times New Roman" w:hAnsi="Times New Roman"/>
          <w:sz w:val="20"/>
        </w:rPr>
        <w:t xml:space="preserve">Ms. Brunelles employment with us was involuntarily terminated on May 17, 2023. Following the closing of the Velodyne merger, we entered into a transition and separation agreement with Ms. Brunelle that provided for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cease serving as our chief financial officer as of February 10, 2023 but continue as an advisor to our chief executive officer through May 17, 2023. In exchange for a full release of claims, Ms. Brunelle was paid severance in an amount equal to 9 months of her base salary, her target bonus amount for 2023, a payment equal to an estimated 9 months of COBRA premiums and full accelerated vesting of her outstanding restricted stock units.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Mr. Dolinkos involuntary termination of employment with us on February 10, 2023 in connection with the closing of the Velodyne merger, we entered into transition agreement with Mr. Dolinko pursuant to which, in exchange for a full release of claims, we paid Mr. Dolinko severance in an amount equal to 12 months of his base salary, his target bonus amount for 2023, a payment equal to an estimated 12 months of COBRA premiums and full accelerated vesting of his outstanding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1" w:name="toc800696_30"/>
      <w:bookmarkEnd w:id="31"/>
      <w:r>
        <w:rPr>
          <w:rFonts w:ascii="Times New Roman" w:hAnsi="Times New Roman"/>
          <w:b/>
          <w:sz w:val="20"/>
        </w:rPr>
        <w:t xml:space="preserve">PAY VERSUS PERFORMANCE (PVP)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 </w:t>
      </w:r>
    </w:p>
    <w:p>
      <w:pPr>
        <w:pStyle w:val="TextBody"/>
        <w:bidi w:val="0"/>
        <w:spacing w:before="0" w:after="0"/>
        <w:jc w:val="left"/>
        <w:rPr/>
      </w:pPr>
      <w:r>
        <w:rPr/>
        <w:t> </w:t>
      </w:r>
    </w:p>
    <w:tbl>
      <w:tblPr>
        <w:tblW w:w="10820" w:type="dxa"/>
        <w:jc w:val="center"/>
        <w:tblInd w:w="0" w:type="dxa"/>
        <w:tblLayout w:type="fixed"/>
        <w:tblCellMar>
          <w:top w:w="0" w:type="dxa"/>
          <w:left w:w="0" w:type="dxa"/>
          <w:bottom w:w="0" w:type="dxa"/>
          <w:right w:w="0" w:type="dxa"/>
        </w:tblCellMar>
      </w:tblPr>
      <w:tblGrid>
        <w:gridCol w:w="1175"/>
        <w:gridCol w:w="60"/>
        <w:gridCol w:w="85"/>
        <w:gridCol w:w="1405"/>
        <w:gridCol w:w="60"/>
        <w:gridCol w:w="60"/>
        <w:gridCol w:w="72"/>
        <w:gridCol w:w="1418"/>
        <w:gridCol w:w="155"/>
        <w:gridCol w:w="60"/>
        <w:gridCol w:w="85"/>
        <w:gridCol w:w="1405"/>
        <w:gridCol w:w="60"/>
        <w:gridCol w:w="60"/>
        <w:gridCol w:w="85"/>
        <w:gridCol w:w="1405"/>
        <w:gridCol w:w="155"/>
        <w:gridCol w:w="60"/>
        <w:gridCol w:w="148"/>
        <w:gridCol w:w="1387"/>
        <w:gridCol w:w="60"/>
        <w:gridCol w:w="60"/>
        <w:gridCol w:w="73"/>
        <w:gridCol w:w="1072"/>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2" w:space="0" w:color="000000"/>
            </w:tcBorders>
            <w:tcMar>
              <w:bottom w:w="60" w:type="dxa"/>
            </w:tcMar>
            <w:vAlign w:val="bottom"/>
          </w:tcPr>
          <w:p>
            <w:pPr>
              <w:pStyle w:val="TableContents"/>
              <w:bidi w:val="0"/>
              <w:spacing w:before="0" w:after="283"/>
              <w:jc w:val="center"/>
              <w:rPr>
                <w:b/>
              </w:rPr>
            </w:pPr>
            <w:r>
              <w:rPr>
                <w:b/>
              </w:rPr>
              <w:t>Fiscal Year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Summary</w:t>
              <w:br/>
              <w:t>Compensation</w:t>
              <w:br/>
              <w:t>Table Total</w:t>
              <w:br/>
              <w:t>for PEO(1)($)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Compensation</w:t>
              <w:br/>
              <w:t>Actually Paid</w:t>
              <w:br/>
              <w:t>to PEO(2)($)</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Average</w:t>
              <w:br/>
              <w:t>Summary</w:t>
              <w:br/>
              <w:t>Compensation</w:t>
              <w:br/>
              <w:t>Table Total</w:t>
              <w:br/>
              <w:t>for non-PEO</w:t>
              <w:br/>
              <w:t>NEOs(1)($)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Average</w:t>
              <w:br/>
              <w:t>Compensation</w:t>
              <w:br/>
              <w:t>Actually Paid</w:t>
              <w:br/>
              <w:t>to non-PEO</w:t>
              <w:br/>
              <w:t>NEOs(2)($)</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gridSpan w:val="2"/>
            <w:tcBorders>
              <w:bottom w:val="single" w:sz="2" w:space="0" w:color="000000"/>
            </w:tcBorders>
            <w:tcMar>
              <w:bottom w:w="60" w:type="dxa"/>
            </w:tcMar>
            <w:vAlign w:val="bottom"/>
          </w:tcPr>
          <w:p>
            <w:pPr>
              <w:pStyle w:val="TableContents"/>
              <w:bidi w:val="0"/>
              <w:spacing w:before="0" w:after="283"/>
              <w:jc w:val="center"/>
              <w:rPr>
                <w:b/>
              </w:rPr>
            </w:pPr>
            <w:r>
              <w:rPr>
                <w:b/>
              </w:rPr>
              <w:t>Value of Initial</w:t>
              <w:br/>
              <w:t>Fixed $100</w:t>
              <w:br/>
              <w:t>Investment</w:t>
              <w:br/>
              <w:t>Based On:</w:t>
              <w:br/>
              <w:t>Total</w:t>
              <w:br/>
              <w:t>Shareholder</w:t>
              <w:br/>
              <w:t>Return(3)($)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45" w:type="dxa"/>
            <w:gridSpan w:val="2"/>
            <w:tcBorders>
              <w:bottom w:val="single" w:sz="2" w:space="0" w:color="000000"/>
            </w:tcBorders>
            <w:tcMar>
              <w:bottom w:w="60" w:type="dxa"/>
            </w:tcMar>
            <w:vAlign w:val="bottom"/>
          </w:tcPr>
          <w:p>
            <w:pPr>
              <w:pStyle w:val="TableContents"/>
              <w:bidi w:val="0"/>
              <w:spacing w:before="0" w:after="0"/>
              <w:jc w:val="center"/>
              <w:rPr>
                <w:rFonts w:ascii="Times New Roman" w:hAnsi="Times New Roman"/>
                <w:b/>
                <w:sz w:val="18"/>
              </w:rPr>
            </w:pPr>
            <w:r>
              <w:rPr>
                <w:rFonts w:ascii="Times New Roman" w:hAnsi="Times New Roman"/>
                <w:b/>
                <w:sz w:val="18"/>
              </w:rPr>
              <w:t>Net Loss</w:t>
            </w:r>
          </w:p>
          <w:p>
            <w:pPr>
              <w:pStyle w:val="TableContents"/>
              <w:bidi w:val="0"/>
              <w:spacing w:before="0" w:after="20"/>
              <w:jc w:val="center"/>
              <w:rPr>
                <w:rFonts w:ascii="Times New Roman" w:hAnsi="Times New Roman"/>
                <w:b/>
                <w:sz w:val="18"/>
              </w:rPr>
            </w:pPr>
            <w:r>
              <w:rPr>
                <w:rFonts w:ascii="Times New Roman" w:hAnsi="Times New Roman"/>
                <w:b/>
                <w:sz w:val="18"/>
              </w:rPr>
              <w:t>(in thousands)(4)($)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11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bottom w:val="single" w:sz="2" w:space="0" w:color="000000"/>
            </w:tcBorders>
            <w:tcMar>
              <w:bottom w:w="60" w:type="dxa"/>
            </w:tcMar>
            <w:vAlign w:val="bottom"/>
          </w:tcPr>
          <w:p>
            <w:pPr>
              <w:pStyle w:val="TableContents"/>
              <w:bidi w:val="0"/>
              <w:spacing w:before="0" w:after="283"/>
              <w:jc w:val="center"/>
              <w:rPr>
                <w:b/>
              </w:rPr>
            </w:pPr>
            <w:r>
              <w:rPr>
                <w:b/>
              </w:rPr>
              <w:t>(a)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(b)</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(c)</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0" w:type="dxa"/>
            <w:gridSpan w:val="2"/>
            <w:tcBorders>
              <w:bottom w:val="single" w:sz="2" w:space="0" w:color="000000"/>
            </w:tcBorders>
            <w:tcMar>
              <w:bottom w:w="60" w:type="dxa"/>
            </w:tcMar>
            <w:vAlign w:val="bottom"/>
          </w:tcPr>
          <w:p>
            <w:pPr>
              <w:pStyle w:val="TableContents"/>
              <w:bidi w:val="0"/>
              <w:spacing w:before="0" w:after="283"/>
              <w:jc w:val="center"/>
              <w:rPr>
                <w:b/>
              </w:rPr>
            </w:pPr>
            <w:r>
              <w:rPr>
                <w:b/>
              </w:rPr>
              <w:t>(e)</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gridSpan w:val="2"/>
            <w:tcBorders>
              <w:bottom w:val="single" w:sz="2" w:space="0" w:color="000000"/>
            </w:tcBorders>
            <w:tcMar>
              <w:bottom w:w="60" w:type="dxa"/>
            </w:tcMar>
            <w:vAlign w:val="bottom"/>
          </w:tcPr>
          <w:p>
            <w:pPr>
              <w:pStyle w:val="TableContents"/>
              <w:bidi w:val="0"/>
              <w:spacing w:before="0" w:after="283"/>
              <w:jc w:val="center"/>
              <w:rPr>
                <w:b/>
              </w:rPr>
            </w:pPr>
            <w:r>
              <w:rPr>
                <w:b/>
              </w:rPr>
              <w:t>(f)</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45" w:type="dxa"/>
            <w:gridSpan w:val="2"/>
            <w:tcBorders>
              <w:bottom w:val="single" w:sz="2" w:space="0" w:color="000000"/>
            </w:tcBorders>
            <w:tcMar>
              <w:bottom w:w="60" w:type="dxa"/>
            </w:tcMar>
            <w:vAlign w:val="bottom"/>
          </w:tcPr>
          <w:p>
            <w:pPr>
              <w:pStyle w:val="TableContents"/>
              <w:bidi w:val="0"/>
              <w:spacing w:before="0" w:after="283"/>
              <w:jc w:val="center"/>
              <w:rPr>
                <w:b/>
              </w:rPr>
            </w:pPr>
            <w:r>
              <w:rPr>
                <w:b/>
              </w:rPr>
              <w:t>(g)</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1175" w:type="dxa"/>
            <w:tcBorders/>
            <w:shd w:fill="CFF0FC" w:val="clear"/>
            <w:vAlign w:val="center"/>
          </w:tcPr>
          <w:p>
            <w:pPr>
              <w:pStyle w:val="TableContents"/>
              <w:bidi w:val="0"/>
              <w:spacing w:before="0" w:after="283"/>
              <w:jc w:val="left"/>
              <w:rPr>
                <w:sz w:val="4"/>
                <w:szCs w:val="4"/>
              </w:rPr>
            </w:pPr>
            <w:r>
              <w:rPr>
                <w:sz w:val="4"/>
                <w:szCs w:val="4"/>
              </w:rPr>
            </w:r>
          </w:p>
        </w:tc>
        <w:tc>
          <w:tcPr>
            <w:tcW w:w="1610" w:type="dxa"/>
            <w:gridSpan w:val="4"/>
            <w:tcBorders/>
            <w:shd w:fill="CFF0FC" w:val="clear"/>
            <w:vAlign w:val="center"/>
          </w:tcPr>
          <w:p>
            <w:pPr>
              <w:pStyle w:val="TableContents"/>
              <w:bidi w:val="0"/>
              <w:spacing w:before="0" w:after="283"/>
              <w:jc w:val="left"/>
              <w:rPr>
                <w:sz w:val="4"/>
                <w:szCs w:val="4"/>
              </w:rPr>
            </w:pPr>
            <w:r>
              <w:rPr>
                <w:sz w:val="4"/>
                <w:szCs w:val="4"/>
              </w:rPr>
            </w:r>
          </w:p>
        </w:tc>
        <w:tc>
          <w:tcPr>
            <w:tcW w:w="1705" w:type="dxa"/>
            <w:gridSpan w:val="4"/>
            <w:tcBorders/>
            <w:shd w:fill="CFF0FC" w:val="clear"/>
            <w:vAlign w:val="center"/>
          </w:tcPr>
          <w:p>
            <w:pPr>
              <w:pStyle w:val="TableContents"/>
              <w:bidi w:val="0"/>
              <w:spacing w:before="0" w:after="283"/>
              <w:jc w:val="left"/>
              <w:rPr>
                <w:sz w:val="4"/>
                <w:szCs w:val="4"/>
              </w:rPr>
            </w:pPr>
            <w:r>
              <w:rPr>
                <w:sz w:val="4"/>
                <w:szCs w:val="4"/>
              </w:rPr>
            </w:r>
          </w:p>
        </w:tc>
        <w:tc>
          <w:tcPr>
            <w:tcW w:w="1610" w:type="dxa"/>
            <w:gridSpan w:val="4"/>
            <w:tcBorders/>
            <w:shd w:fill="CFF0FC" w:val="clear"/>
            <w:vAlign w:val="center"/>
          </w:tcPr>
          <w:p>
            <w:pPr>
              <w:pStyle w:val="TableContents"/>
              <w:bidi w:val="0"/>
              <w:spacing w:before="0" w:after="283"/>
              <w:jc w:val="left"/>
              <w:rPr>
                <w:sz w:val="4"/>
                <w:szCs w:val="4"/>
              </w:rPr>
            </w:pPr>
            <w:r>
              <w:rPr>
                <w:sz w:val="4"/>
                <w:szCs w:val="4"/>
              </w:rPr>
            </w:r>
          </w:p>
        </w:tc>
        <w:tc>
          <w:tcPr>
            <w:tcW w:w="1705" w:type="dxa"/>
            <w:gridSpan w:val="4"/>
            <w:tcBorders/>
            <w:shd w:fill="CFF0FC" w:val="clear"/>
            <w:vAlign w:val="center"/>
          </w:tcPr>
          <w:p>
            <w:pPr>
              <w:pStyle w:val="TableContents"/>
              <w:bidi w:val="0"/>
              <w:spacing w:before="0" w:after="283"/>
              <w:jc w:val="left"/>
              <w:rPr>
                <w:sz w:val="4"/>
                <w:szCs w:val="4"/>
              </w:rPr>
            </w:pPr>
            <w:r>
              <w:rPr>
                <w:sz w:val="4"/>
                <w:szCs w:val="4"/>
              </w:rPr>
            </w:r>
          </w:p>
        </w:tc>
        <w:tc>
          <w:tcPr>
            <w:tcW w:w="1655" w:type="dxa"/>
            <w:gridSpan w:val="4"/>
            <w:tcBorders/>
            <w:shd w:fill="CFF0FC" w:val="clear"/>
            <w:vAlign w:val="center"/>
          </w:tcPr>
          <w:p>
            <w:pPr>
              <w:pStyle w:val="TableContents"/>
              <w:bidi w:val="0"/>
              <w:spacing w:before="0" w:after="283"/>
              <w:jc w:val="left"/>
              <w:rPr>
                <w:sz w:val="4"/>
                <w:szCs w:val="4"/>
              </w:rPr>
            </w:pPr>
            <w:r>
              <w:rPr>
                <w:sz w:val="4"/>
                <w:szCs w:val="4"/>
              </w:rPr>
            </w:r>
          </w:p>
        </w:tc>
        <w:tc>
          <w:tcPr>
            <w:tcW w:w="13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175"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shd w:fill="CFF0FC" w:val="clear"/>
            <w:vAlign w:val="bottom"/>
          </w:tcPr>
          <w:p>
            <w:pPr>
              <w:pStyle w:val="TableContents"/>
              <w:bidi w:val="0"/>
              <w:spacing w:before="0" w:after="283"/>
              <w:jc w:val="left"/>
              <w:rPr/>
            </w:pPr>
            <w:r>
              <w:rPr/>
              <w:t> </w:t>
            </w:r>
          </w:p>
        </w:tc>
        <w:tc>
          <w:tcPr>
            <w:tcW w:w="85" w:type="dxa"/>
            <w:tcBorders/>
            <w:shd w:fill="CFF0FC" w:val="clear"/>
            <w:vAlign w:val="bottom"/>
          </w:tcPr>
          <w:p>
            <w:pPr>
              <w:pStyle w:val="TableContents"/>
              <w:bidi w:val="0"/>
              <w:spacing w:before="0" w:after="283"/>
              <w:jc w:val="left"/>
              <w:rPr/>
            </w:pPr>
            <w:r>
              <w:rPr/>
              <w:t> </w:t>
            </w:r>
          </w:p>
        </w:tc>
        <w:tc>
          <w:tcPr>
            <w:tcW w:w="1405" w:type="dxa"/>
            <w:tcBorders/>
            <w:shd w:fill="CFF0FC" w:val="clear"/>
            <w:vAlign w:val="bottom"/>
          </w:tcPr>
          <w:p>
            <w:pPr>
              <w:pStyle w:val="TableContents"/>
              <w:bidi w:val="0"/>
              <w:spacing w:before="0" w:after="283"/>
              <w:jc w:val="right"/>
              <w:rPr/>
            </w:pPr>
            <w:r>
              <w:rPr/>
              <w:t>1,056,962</w:t>
            </w:r>
          </w:p>
        </w:tc>
        <w:tc>
          <w:tcPr>
            <w:tcW w:w="60"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72" w:type="dxa"/>
            <w:tcBorders/>
            <w:shd w:fill="CFF0FC" w:val="clear"/>
            <w:vAlign w:val="bottom"/>
          </w:tcPr>
          <w:p>
            <w:pPr>
              <w:pStyle w:val="TableContents"/>
              <w:bidi w:val="0"/>
              <w:spacing w:before="0" w:after="283"/>
              <w:jc w:val="left"/>
              <w:rPr/>
            </w:pPr>
            <w:r>
              <w:rPr/>
              <w:t> </w:t>
            </w:r>
          </w:p>
        </w:tc>
        <w:tc>
          <w:tcPr>
            <w:tcW w:w="1418" w:type="dxa"/>
            <w:tcBorders/>
            <w:shd w:fill="CFF0FC" w:val="clear"/>
            <w:vAlign w:val="bottom"/>
          </w:tcPr>
          <w:p>
            <w:pPr>
              <w:pStyle w:val="TableContents"/>
              <w:bidi w:val="0"/>
              <w:spacing w:before="0" w:after="283"/>
              <w:jc w:val="right"/>
              <w:rPr/>
            </w:pPr>
            <w:r>
              <w:rPr/>
              <w:t>598,839</w:t>
            </w:r>
          </w:p>
        </w:tc>
        <w:tc>
          <w:tcPr>
            <w:tcW w:w="155"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5" w:type="dxa"/>
            <w:tcBorders/>
            <w:shd w:fill="CFF0FC" w:val="clear"/>
            <w:vAlign w:val="bottom"/>
          </w:tcPr>
          <w:p>
            <w:pPr>
              <w:pStyle w:val="TableContents"/>
              <w:bidi w:val="0"/>
              <w:spacing w:before="0" w:after="283"/>
              <w:jc w:val="left"/>
              <w:rPr/>
            </w:pPr>
            <w:r>
              <w:rPr/>
              <w:t> </w:t>
            </w:r>
          </w:p>
        </w:tc>
        <w:tc>
          <w:tcPr>
            <w:tcW w:w="1405" w:type="dxa"/>
            <w:tcBorders/>
            <w:shd w:fill="CFF0FC" w:val="clear"/>
            <w:vAlign w:val="bottom"/>
          </w:tcPr>
          <w:p>
            <w:pPr>
              <w:pStyle w:val="TableContents"/>
              <w:bidi w:val="0"/>
              <w:spacing w:before="0" w:after="283"/>
              <w:jc w:val="right"/>
              <w:rPr/>
            </w:pPr>
            <w:r>
              <w:rPr/>
              <w:t>2,486,737</w:t>
            </w:r>
          </w:p>
        </w:tc>
        <w:tc>
          <w:tcPr>
            <w:tcW w:w="60"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85" w:type="dxa"/>
            <w:tcBorders/>
            <w:shd w:fill="CFF0FC" w:val="clear"/>
            <w:vAlign w:val="bottom"/>
          </w:tcPr>
          <w:p>
            <w:pPr>
              <w:pStyle w:val="TableContents"/>
              <w:bidi w:val="0"/>
              <w:spacing w:before="0" w:after="283"/>
              <w:jc w:val="left"/>
              <w:rPr/>
            </w:pPr>
            <w:r>
              <w:rPr/>
              <w:t> </w:t>
            </w:r>
          </w:p>
        </w:tc>
        <w:tc>
          <w:tcPr>
            <w:tcW w:w="1405" w:type="dxa"/>
            <w:tcBorders/>
            <w:shd w:fill="CFF0FC" w:val="clear"/>
            <w:vAlign w:val="bottom"/>
          </w:tcPr>
          <w:p>
            <w:pPr>
              <w:pStyle w:val="TableContents"/>
              <w:bidi w:val="0"/>
              <w:spacing w:before="0" w:after="283"/>
              <w:jc w:val="right"/>
              <w:rPr/>
            </w:pPr>
            <w:r>
              <w:rPr/>
              <w:t>946,121</w:t>
            </w:r>
          </w:p>
        </w:tc>
        <w:tc>
          <w:tcPr>
            <w:tcW w:w="155"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148" w:type="dxa"/>
            <w:tcBorders/>
            <w:shd w:fill="CFF0FC" w:val="clear"/>
            <w:vAlign w:val="bottom"/>
          </w:tcPr>
          <w:p>
            <w:pPr>
              <w:pStyle w:val="TableContents"/>
              <w:bidi w:val="0"/>
              <w:spacing w:before="0" w:after="283"/>
              <w:jc w:val="left"/>
              <w:rPr/>
            </w:pPr>
            <w:r>
              <w:rPr/>
              <w:t> </w:t>
            </w:r>
          </w:p>
        </w:tc>
        <w:tc>
          <w:tcPr>
            <w:tcW w:w="1387" w:type="dxa"/>
            <w:tcBorders/>
            <w:shd w:fill="CFF0FC" w:val="clear"/>
            <w:vAlign w:val="bottom"/>
          </w:tcPr>
          <w:p>
            <w:pPr>
              <w:pStyle w:val="TableContents"/>
              <w:bidi w:val="0"/>
              <w:spacing w:before="0" w:after="283"/>
              <w:jc w:val="right"/>
              <w:rPr/>
            </w:pPr>
            <w:r>
              <w:rPr/>
              <w:t>5.68</w:t>
            </w:r>
          </w:p>
        </w:tc>
        <w:tc>
          <w:tcPr>
            <w:tcW w:w="60" w:type="dxa"/>
            <w:tcBorders/>
            <w:shd w:fill="CFF0FC" w:val="clear"/>
            <w:vAlign w:val="bottom"/>
          </w:tcPr>
          <w:p>
            <w:pPr>
              <w:pStyle w:val="TableContents"/>
              <w:bidi w:val="0"/>
              <w:spacing w:before="0" w:after="283"/>
              <w:jc w:val="left"/>
              <w:rPr/>
            </w:pPr>
            <w:r>
              <w:rPr/>
              <w:t> </w:t>
            </w:r>
          </w:p>
        </w:tc>
        <w:tc>
          <w:tcPr>
            <w:tcW w:w="60" w:type="dxa"/>
            <w:tcBorders/>
            <w:shd w:fill="CFF0FC" w:val="clear"/>
            <w:vAlign w:val="bottom"/>
          </w:tcPr>
          <w:p>
            <w:pPr>
              <w:pStyle w:val="TableContents"/>
              <w:bidi w:val="0"/>
              <w:spacing w:before="0" w:after="283"/>
              <w:jc w:val="left"/>
              <w:rPr/>
            </w:pPr>
            <w:r>
              <w:rPr/>
              <w:t> </w:t>
            </w:r>
          </w:p>
        </w:tc>
        <w:tc>
          <w:tcPr>
            <w:tcW w:w="73" w:type="dxa"/>
            <w:tcBorders/>
            <w:shd w:fill="CFF0FC" w:val="clear"/>
            <w:vAlign w:val="bottom"/>
          </w:tcPr>
          <w:p>
            <w:pPr>
              <w:pStyle w:val="TableContents"/>
              <w:bidi w:val="0"/>
              <w:spacing w:before="0" w:after="283"/>
              <w:jc w:val="left"/>
              <w:rPr/>
            </w:pPr>
            <w:r>
              <w:rPr/>
              <w:t> </w:t>
            </w:r>
          </w:p>
        </w:tc>
        <w:tc>
          <w:tcPr>
            <w:tcW w:w="1072" w:type="dxa"/>
            <w:tcBorders/>
            <w:shd w:fill="CFF0FC" w:val="clear"/>
            <w:vAlign w:val="bottom"/>
          </w:tcPr>
          <w:p>
            <w:pPr>
              <w:pStyle w:val="TableContents"/>
              <w:bidi w:val="0"/>
              <w:spacing w:before="0" w:after="283"/>
              <w:jc w:val="right"/>
              <w:rPr/>
            </w:pPr>
            <w:r>
              <w:rPr/>
              <w:t>(374,110</w:t>
            </w:r>
          </w:p>
        </w:tc>
        <w:tc>
          <w:tcPr>
            <w:tcW w:w="155" w:type="dxa"/>
            <w:tcBorders/>
            <w:shd w:fill="CFF0FC" w:val="clear"/>
            <w:vAlign w:val="bottom"/>
          </w:tcPr>
          <w:p>
            <w:pPr>
              <w:pStyle w:val="TableContents"/>
              <w:bidi w:val="0"/>
              <w:spacing w:before="0" w:after="283"/>
              <w:jc w:val="left"/>
              <w:rPr/>
            </w:pPr>
            <w:r>
              <w:rPr/>
              <w:t>) </w:t>
            </w:r>
          </w:p>
        </w:tc>
      </w:tr>
      <w:tr>
        <w:trPr>
          <w:trHeight w:val="60" w:hRule="atLeast"/>
        </w:trPr>
        <w:tc>
          <w:tcPr>
            <w:tcW w:w="11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166,400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right"/>
              <w:rPr/>
            </w:pPr>
            <w:r>
              <w:rPr/>
              <w:t>(21,360,073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2,223,570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(794,923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6.39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(138,560</w:t>
            </w:r>
          </w:p>
        </w:tc>
        <w:tc>
          <w:tcPr>
            <w:tcW w:w="155" w:type="dxa"/>
            <w:tcBorders/>
            <w:vAlign w:val="bottom"/>
          </w:tcPr>
          <w:p>
            <w:pPr>
              <w:pStyle w:val="TableContents"/>
              <w:bidi w:val="0"/>
              <w:spacing w:before="0" w:after="283"/>
              <w:jc w:val="left"/>
              <w:rPr/>
            </w:pPr>
            <w:r>
              <w:rPr/>
              <w:t>) </w:t>
            </w:r>
          </w:p>
        </w:tc>
      </w:tr>
      <w:tr>
        <w:trPr>
          <w:trHeight w:val="60" w:hRule="atLeast"/>
        </w:trPr>
        <w:tc>
          <w:tcPr>
            <w:tcW w:w="1175" w:type="dxa"/>
            <w:tcBorders/>
            <w:shd w:fill="CFF0FC" w:val="clear"/>
            <w:vAlign w:val="center"/>
          </w:tcPr>
          <w:p>
            <w:pPr>
              <w:pStyle w:val="TableContents"/>
              <w:bidi w:val="0"/>
              <w:spacing w:before="0" w:after="283"/>
              <w:jc w:val="left"/>
              <w:rPr>
                <w:sz w:val="4"/>
                <w:szCs w:val="4"/>
              </w:rPr>
            </w:pPr>
            <w:r>
              <w:rPr>
                <w:sz w:val="4"/>
                <w:szCs w:val="4"/>
              </w:rPr>
            </w:r>
          </w:p>
        </w:tc>
        <w:tc>
          <w:tcPr>
            <w:tcW w:w="1610" w:type="dxa"/>
            <w:gridSpan w:val="4"/>
            <w:tcBorders/>
            <w:shd w:fill="CFF0FC" w:val="clear"/>
            <w:vAlign w:val="center"/>
          </w:tcPr>
          <w:p>
            <w:pPr>
              <w:pStyle w:val="TableContents"/>
              <w:bidi w:val="0"/>
              <w:spacing w:before="0" w:after="283"/>
              <w:jc w:val="left"/>
              <w:rPr>
                <w:sz w:val="4"/>
                <w:szCs w:val="4"/>
              </w:rPr>
            </w:pPr>
            <w:r>
              <w:rPr>
                <w:sz w:val="4"/>
                <w:szCs w:val="4"/>
              </w:rPr>
            </w:r>
          </w:p>
        </w:tc>
        <w:tc>
          <w:tcPr>
            <w:tcW w:w="1705" w:type="dxa"/>
            <w:gridSpan w:val="4"/>
            <w:tcBorders/>
            <w:shd w:fill="CFF0FC" w:val="clear"/>
            <w:vAlign w:val="center"/>
          </w:tcPr>
          <w:p>
            <w:pPr>
              <w:pStyle w:val="TableContents"/>
              <w:bidi w:val="0"/>
              <w:spacing w:before="0" w:after="283"/>
              <w:jc w:val="left"/>
              <w:rPr>
                <w:sz w:val="4"/>
                <w:szCs w:val="4"/>
              </w:rPr>
            </w:pPr>
            <w:r>
              <w:rPr>
                <w:sz w:val="4"/>
                <w:szCs w:val="4"/>
              </w:rPr>
            </w:r>
          </w:p>
        </w:tc>
        <w:tc>
          <w:tcPr>
            <w:tcW w:w="1610" w:type="dxa"/>
            <w:gridSpan w:val="4"/>
            <w:tcBorders/>
            <w:shd w:fill="CFF0FC" w:val="clear"/>
            <w:vAlign w:val="center"/>
          </w:tcPr>
          <w:p>
            <w:pPr>
              <w:pStyle w:val="TableContents"/>
              <w:bidi w:val="0"/>
              <w:spacing w:before="0" w:after="283"/>
              <w:jc w:val="left"/>
              <w:rPr>
                <w:sz w:val="4"/>
                <w:szCs w:val="4"/>
              </w:rPr>
            </w:pPr>
            <w:r>
              <w:rPr>
                <w:sz w:val="4"/>
                <w:szCs w:val="4"/>
              </w:rPr>
            </w:r>
          </w:p>
        </w:tc>
        <w:tc>
          <w:tcPr>
            <w:tcW w:w="1705" w:type="dxa"/>
            <w:gridSpan w:val="4"/>
            <w:tcBorders/>
            <w:shd w:fill="CFF0FC" w:val="clear"/>
            <w:vAlign w:val="center"/>
          </w:tcPr>
          <w:p>
            <w:pPr>
              <w:pStyle w:val="TableContents"/>
              <w:bidi w:val="0"/>
              <w:spacing w:before="0" w:after="283"/>
              <w:jc w:val="left"/>
              <w:rPr>
                <w:sz w:val="4"/>
                <w:szCs w:val="4"/>
              </w:rPr>
            </w:pPr>
            <w:r>
              <w:rPr>
                <w:sz w:val="4"/>
                <w:szCs w:val="4"/>
              </w:rPr>
            </w:r>
          </w:p>
        </w:tc>
        <w:tc>
          <w:tcPr>
            <w:tcW w:w="1655" w:type="dxa"/>
            <w:gridSpan w:val="4"/>
            <w:tcBorders/>
            <w:shd w:fill="CFF0FC" w:val="clear"/>
            <w:vAlign w:val="center"/>
          </w:tcPr>
          <w:p>
            <w:pPr>
              <w:pStyle w:val="TableContents"/>
              <w:bidi w:val="0"/>
              <w:spacing w:before="0" w:after="283"/>
              <w:jc w:val="left"/>
              <w:rPr>
                <w:sz w:val="4"/>
                <w:szCs w:val="4"/>
              </w:rPr>
            </w:pPr>
            <w:r>
              <w:rPr>
                <w:sz w:val="4"/>
                <w:szCs w:val="4"/>
              </w:rPr>
            </w:r>
          </w:p>
        </w:tc>
        <w:tc>
          <w:tcPr>
            <w:tcW w:w="13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1175" w:type="dxa"/>
            <w:tcBorders>
              <w:bottom w:val="single" w:sz="2" w:space="0" w:color="000000"/>
            </w:tcBorders>
            <w:shd w:fill="CFF0FC" w:val="clear"/>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2021</w:t>
            </w:r>
          </w:p>
        </w:tc>
        <w:tc>
          <w:tcPr>
            <w:tcW w:w="6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1405" w:type="dxa"/>
            <w:tcBorders>
              <w:bottom w:val="single" w:sz="2" w:space="0" w:color="000000"/>
            </w:tcBorders>
            <w:shd w:fill="CFF0FC" w:val="clear"/>
            <w:tcMar>
              <w:bottom w:w="60" w:type="dxa"/>
            </w:tcMar>
            <w:vAlign w:val="bottom"/>
          </w:tcPr>
          <w:p>
            <w:pPr>
              <w:pStyle w:val="TableContents"/>
              <w:bidi w:val="0"/>
              <w:spacing w:before="0" w:after="283"/>
              <w:jc w:val="right"/>
              <w:rPr/>
            </w:pPr>
            <w:r>
              <w:rPr/>
              <w:t>125,029</w:t>
            </w:r>
          </w:p>
        </w:tc>
        <w:tc>
          <w:tcPr>
            <w:tcW w:w="60"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72"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1418" w:type="dxa"/>
            <w:tcBorders>
              <w:bottom w:val="single" w:sz="2" w:space="0" w:color="000000"/>
            </w:tcBorders>
            <w:shd w:fill="CFF0FC" w:val="clear"/>
            <w:tcMar>
              <w:bottom w:w="60" w:type="dxa"/>
            </w:tcMar>
            <w:vAlign w:val="bottom"/>
          </w:tcPr>
          <w:p>
            <w:pPr>
              <w:pStyle w:val="TableContents"/>
              <w:bidi w:val="0"/>
              <w:spacing w:before="0" w:after="283"/>
              <w:jc w:val="right"/>
              <w:rPr/>
            </w:pPr>
            <w:r>
              <w:rPr/>
              <w:t>(59,385,609</w:t>
            </w:r>
          </w:p>
        </w:tc>
        <w:tc>
          <w:tcPr>
            <w:tcW w:w="155"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1405" w:type="dxa"/>
            <w:tcBorders>
              <w:bottom w:val="single" w:sz="2" w:space="0" w:color="000000"/>
            </w:tcBorders>
            <w:shd w:fill="CFF0FC" w:val="clear"/>
            <w:tcMar>
              <w:bottom w:w="60" w:type="dxa"/>
            </w:tcMar>
            <w:vAlign w:val="bottom"/>
          </w:tcPr>
          <w:p>
            <w:pPr>
              <w:pStyle w:val="TableContents"/>
              <w:bidi w:val="0"/>
              <w:spacing w:before="0" w:after="283"/>
              <w:jc w:val="right"/>
              <w:rPr/>
            </w:pPr>
            <w:r>
              <w:rPr/>
              <w:t>4,795,634</w:t>
            </w:r>
          </w:p>
        </w:tc>
        <w:tc>
          <w:tcPr>
            <w:tcW w:w="60"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1405" w:type="dxa"/>
            <w:tcBorders>
              <w:bottom w:val="single" w:sz="2" w:space="0" w:color="000000"/>
            </w:tcBorders>
            <w:shd w:fill="CFF0FC" w:val="clear"/>
            <w:tcMar>
              <w:bottom w:w="60" w:type="dxa"/>
            </w:tcMar>
            <w:vAlign w:val="bottom"/>
          </w:tcPr>
          <w:p>
            <w:pPr>
              <w:pStyle w:val="TableContents"/>
              <w:bidi w:val="0"/>
              <w:spacing w:before="0" w:after="283"/>
              <w:jc w:val="right"/>
              <w:rPr/>
            </w:pPr>
            <w:r>
              <w:rPr/>
              <w:t>1,198,822</w:t>
            </w:r>
          </w:p>
        </w:tc>
        <w:tc>
          <w:tcPr>
            <w:tcW w:w="155"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148"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1387" w:type="dxa"/>
            <w:tcBorders>
              <w:bottom w:val="single" w:sz="2" w:space="0" w:color="000000"/>
            </w:tcBorders>
            <w:shd w:fill="CFF0FC" w:val="clear"/>
            <w:tcMar>
              <w:bottom w:w="60" w:type="dxa"/>
            </w:tcMar>
            <w:vAlign w:val="bottom"/>
          </w:tcPr>
          <w:p>
            <w:pPr>
              <w:pStyle w:val="TableContents"/>
              <w:bidi w:val="0"/>
              <w:spacing w:before="0" w:after="283"/>
              <w:jc w:val="right"/>
              <w:rPr/>
            </w:pPr>
            <w:r>
              <w:rPr/>
              <w:t>38.52</w:t>
            </w:r>
          </w:p>
        </w:tc>
        <w:tc>
          <w:tcPr>
            <w:tcW w:w="60"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60"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73"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c>
          <w:tcPr>
            <w:tcW w:w="1072" w:type="dxa"/>
            <w:tcBorders>
              <w:bottom w:val="single" w:sz="2" w:space="0" w:color="000000"/>
            </w:tcBorders>
            <w:shd w:fill="CFF0FC" w:val="clear"/>
            <w:tcMar>
              <w:bottom w:w="60" w:type="dxa"/>
            </w:tcMar>
            <w:vAlign w:val="bottom"/>
          </w:tcPr>
          <w:p>
            <w:pPr>
              <w:pStyle w:val="TableContents"/>
              <w:bidi w:val="0"/>
              <w:spacing w:before="0" w:after="283"/>
              <w:jc w:val="right"/>
              <w:rPr/>
            </w:pPr>
            <w:r>
              <w:rPr/>
              <w:t>(93,981</w:t>
            </w:r>
          </w:p>
        </w:tc>
        <w:tc>
          <w:tcPr>
            <w:tcW w:w="155"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Pacala served as principal executive officer (PEO) for 2023, 2022 and 2021. Our non-PEO named executive officers (NEOs) included Mr. Weinswig, Mr. Spencer, Ms. Brunelle and Mr. Dolinko for 2023, Ms. Brunelle and Mr. Dickerman for 2022 and Ms. Brunelle and Messrs. Spencer, Dickerman, and Dolinko for 2021. Amounts shown reflect Summary Compensation Table total compensation for our PEO and NEOs in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CAP calculation includes the end-of-year value of awards granted within the fiscal year, the change in fair value from prior year-end of vested awards and the change in the fair value of unvested awards granted in prior years, regardless of if, when, or at what intrinsic value they will actually vest.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PEO SCT Total to CAP Reconciliation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5"/>
        <w:gridCol w:w="246"/>
        <w:gridCol w:w="216"/>
        <w:gridCol w:w="1028"/>
        <w:gridCol w:w="270"/>
      </w:tblGrid>
      <w:tr>
        <w:trPr/>
        <w:tc>
          <w:tcPr>
            <w:tcW w:w="844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bottom w:val="single" w:sz="2" w:space="0" w:color="000000"/>
            </w:tcBorders>
            <w:tcMar>
              <w:bottom w:w="60" w:type="dxa"/>
            </w:tcMar>
            <w:vAlign w:val="bottom"/>
          </w:tcPr>
          <w:p>
            <w:pPr>
              <w:pStyle w:val="TableContents"/>
              <w:bidi w:val="0"/>
              <w:spacing w:before="0" w:after="283"/>
              <w:jc w:val="left"/>
              <w:rPr>
                <w:b/>
              </w:rPr>
            </w:pPr>
            <w:r>
              <w:rPr>
                <w:b/>
              </w:rPr>
              <w:t>Fiscal Year</w:t>
            </w:r>
          </w:p>
        </w:tc>
        <w:tc>
          <w:tcPr>
            <w:tcW w:w="246" w:type="dxa"/>
            <w:tcBorders>
              <w:bottom w:val="single" w:sz="2" w:space="0" w:color="000000"/>
            </w:tcBorders>
            <w:tcMar>
              <w:bottom w:w="28" w:type="dxa"/>
            </w:tcMar>
            <w:vAlign w:val="bottom"/>
          </w:tcPr>
          <w:p>
            <w:pPr>
              <w:pStyle w:val="TableContents"/>
              <w:bidi w:val="0"/>
              <w:spacing w:before="0" w:after="283"/>
              <w:jc w:val="left"/>
              <w:rPr/>
            </w:pPr>
            <w:r>
              <w:rPr/>
              <w:t>  </w:t>
            </w:r>
          </w:p>
        </w:tc>
        <w:tc>
          <w:tcPr>
            <w:tcW w:w="1244" w:type="dxa"/>
            <w:gridSpan w:val="2"/>
            <w:tcBorders>
              <w:bottom w:val="single" w:sz="2" w:space="0" w:color="000000"/>
            </w:tcBorders>
            <w:tcMar>
              <w:bottom w:w="60" w:type="dxa"/>
            </w:tcMar>
            <w:vAlign w:val="bottom"/>
          </w:tcPr>
          <w:p>
            <w:pPr>
              <w:pStyle w:val="TableContents"/>
              <w:bidi w:val="0"/>
              <w:spacing w:before="0" w:after="283"/>
              <w:jc w:val="center"/>
              <w:rPr>
                <w:b/>
              </w:rPr>
            </w:pPr>
            <w:r>
              <w:rPr>
                <w:b/>
              </w:rPr>
              <w:t>2023</w:t>
            </w:r>
          </w:p>
        </w:tc>
        <w:tc>
          <w:tcPr>
            <w:tcW w:w="27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8445" w:type="dxa"/>
            <w:tcBorders/>
            <w:shd w:fill="CFF0FC" w:val="clear"/>
            <w:vAlign w:val="center"/>
          </w:tcPr>
          <w:p>
            <w:pPr>
              <w:pStyle w:val="TableContents"/>
              <w:bidi w:val="0"/>
              <w:spacing w:before="0" w:after="283"/>
              <w:jc w:val="left"/>
              <w:rPr>
                <w:sz w:val="4"/>
                <w:szCs w:val="4"/>
              </w:rPr>
            </w:pPr>
            <w:r>
              <w:rPr>
                <w:sz w:val="4"/>
                <w:szCs w:val="4"/>
              </w:rPr>
            </w:r>
          </w:p>
        </w:tc>
        <w:tc>
          <w:tcPr>
            <w:tcW w:w="17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8445"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SCT Total</w:t>
            </w:r>
          </w:p>
        </w:tc>
        <w:tc>
          <w:tcPr>
            <w:tcW w:w="246" w:type="dxa"/>
            <w:tcBorders/>
            <w:shd w:fill="CFF0FC" w:val="clear"/>
            <w:vAlign w:val="bottom"/>
          </w:tcPr>
          <w:p>
            <w:pPr>
              <w:pStyle w:val="TableContents"/>
              <w:bidi w:val="0"/>
              <w:spacing w:before="0" w:after="283"/>
              <w:jc w:val="left"/>
              <w:rPr/>
            </w:pPr>
            <w:r>
              <w:rPr/>
              <w:t>  </w:t>
            </w:r>
          </w:p>
        </w:tc>
        <w:tc>
          <w:tcPr>
            <w:tcW w:w="216" w:type="dxa"/>
            <w:tcBorders/>
            <w:shd w:fill="CFF0FC" w:val="clear"/>
            <w:vAlign w:val="bottom"/>
          </w:tcPr>
          <w:p>
            <w:pPr>
              <w:pStyle w:val="TableContents"/>
              <w:bidi w:val="0"/>
              <w:spacing w:before="0" w:after="283"/>
              <w:jc w:val="left"/>
              <w:rPr/>
            </w:pPr>
            <w:r>
              <w:rPr/>
              <w:t>$</w:t>
            </w:r>
          </w:p>
        </w:tc>
        <w:tc>
          <w:tcPr>
            <w:tcW w:w="1028" w:type="dxa"/>
            <w:tcBorders/>
            <w:shd w:fill="CFF0FC" w:val="clear"/>
            <w:vAlign w:val="bottom"/>
          </w:tcPr>
          <w:p>
            <w:pPr>
              <w:pStyle w:val="TableContents"/>
              <w:bidi w:val="0"/>
              <w:spacing w:before="0" w:after="283"/>
              <w:jc w:val="right"/>
              <w:rPr/>
            </w:pPr>
            <w:r>
              <w:rPr/>
              <w:t>1,056,962</w:t>
            </w:r>
          </w:p>
        </w:tc>
        <w:tc>
          <w:tcPr>
            <w:tcW w:w="270" w:type="dxa"/>
            <w:tcBorders/>
            <w:shd w:fill="CFF0FC"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Grant Date Fair Value of Stock Awards Granted in Fiscal Year</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368,400</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shd w:fill="CFF0FC" w:val="clear"/>
            <w:vAlign w:val="center"/>
          </w:tcPr>
          <w:p>
            <w:pPr>
              <w:pStyle w:val="TableContents"/>
              <w:bidi w:val="0"/>
              <w:spacing w:before="0" w:after="283"/>
              <w:jc w:val="left"/>
              <w:rPr>
                <w:sz w:val="4"/>
                <w:szCs w:val="4"/>
              </w:rPr>
            </w:pPr>
            <w:r>
              <w:rPr>
                <w:sz w:val="4"/>
                <w:szCs w:val="4"/>
              </w:rPr>
            </w:r>
          </w:p>
        </w:tc>
        <w:tc>
          <w:tcPr>
            <w:tcW w:w="17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8445"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 Fair Value at Fiscal Year-End of Outstanding Unvested Stock Awards Granted in Fiscal Year</w:t>
            </w:r>
          </w:p>
        </w:tc>
        <w:tc>
          <w:tcPr>
            <w:tcW w:w="246" w:type="dxa"/>
            <w:tcBorders/>
            <w:shd w:fill="CFF0FC" w:val="clear"/>
            <w:vAlign w:val="bottom"/>
          </w:tcPr>
          <w:p>
            <w:pPr>
              <w:pStyle w:val="TableContents"/>
              <w:bidi w:val="0"/>
              <w:spacing w:before="0" w:after="283"/>
              <w:jc w:val="left"/>
              <w:rPr/>
            </w:pPr>
            <w:r>
              <w:rPr/>
              <w:t>  </w:t>
            </w:r>
          </w:p>
        </w:tc>
        <w:tc>
          <w:tcPr>
            <w:tcW w:w="216" w:type="dxa"/>
            <w:tcBorders/>
            <w:shd w:fill="CFF0FC" w:val="clear"/>
            <w:vAlign w:val="bottom"/>
          </w:tcPr>
          <w:p>
            <w:pPr>
              <w:pStyle w:val="TableContents"/>
              <w:bidi w:val="0"/>
              <w:spacing w:before="0" w:after="283"/>
              <w:jc w:val="left"/>
              <w:rPr/>
            </w:pPr>
            <w:r>
              <w:rPr/>
              <w:t>$</w:t>
            </w:r>
          </w:p>
        </w:tc>
        <w:tc>
          <w:tcPr>
            <w:tcW w:w="1028" w:type="dxa"/>
            <w:tcBorders/>
            <w:shd w:fill="CFF0FC" w:val="clear"/>
            <w:vAlign w:val="bottom"/>
          </w:tcPr>
          <w:p>
            <w:pPr>
              <w:pStyle w:val="TableContents"/>
              <w:bidi w:val="0"/>
              <w:spacing w:before="0" w:after="283"/>
              <w:jc w:val="right"/>
              <w:rPr/>
            </w:pPr>
            <w:r>
              <w:rPr/>
              <w:t>287,625</w:t>
            </w:r>
          </w:p>
        </w:tc>
        <w:tc>
          <w:tcPr>
            <w:tcW w:w="270" w:type="dxa"/>
            <w:tcBorders/>
            <w:shd w:fill="CFF0FC"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Change in Fair Value of Outstanding Unvested Stock Awards Granted in Prior Fiscal Years</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156,572</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shd w:fill="CFF0FC" w:val="clear"/>
            <w:vAlign w:val="center"/>
          </w:tcPr>
          <w:p>
            <w:pPr>
              <w:pStyle w:val="TableContents"/>
              <w:bidi w:val="0"/>
              <w:spacing w:before="0" w:after="283"/>
              <w:jc w:val="left"/>
              <w:rPr>
                <w:sz w:val="4"/>
                <w:szCs w:val="4"/>
              </w:rPr>
            </w:pPr>
            <w:r>
              <w:rPr>
                <w:sz w:val="4"/>
                <w:szCs w:val="4"/>
              </w:rPr>
            </w:r>
          </w:p>
        </w:tc>
        <w:tc>
          <w:tcPr>
            <w:tcW w:w="17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8445"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 Fair Value at Vesting of Stock Awards Granted in Fiscal Year That Vested During Fiscal Year</w:t>
            </w:r>
          </w:p>
        </w:tc>
        <w:tc>
          <w:tcPr>
            <w:tcW w:w="246" w:type="dxa"/>
            <w:tcBorders/>
            <w:shd w:fill="CFF0FC" w:val="clear"/>
            <w:vAlign w:val="bottom"/>
          </w:tcPr>
          <w:p>
            <w:pPr>
              <w:pStyle w:val="TableContents"/>
              <w:bidi w:val="0"/>
              <w:spacing w:before="0" w:after="283"/>
              <w:jc w:val="left"/>
              <w:rPr/>
            </w:pPr>
            <w:r>
              <w:rPr/>
              <w:t>  </w:t>
            </w:r>
          </w:p>
        </w:tc>
        <w:tc>
          <w:tcPr>
            <w:tcW w:w="216" w:type="dxa"/>
            <w:tcBorders/>
            <w:shd w:fill="CFF0FC" w:val="clear"/>
            <w:vAlign w:val="bottom"/>
          </w:tcPr>
          <w:p>
            <w:pPr>
              <w:pStyle w:val="TableContents"/>
              <w:bidi w:val="0"/>
              <w:spacing w:before="0" w:after="283"/>
              <w:jc w:val="left"/>
              <w:rPr/>
            </w:pPr>
            <w:r>
              <w:rPr/>
              <w:t>$</w:t>
            </w:r>
          </w:p>
        </w:tc>
        <w:tc>
          <w:tcPr>
            <w:tcW w:w="1028" w:type="dxa"/>
            <w:tcBorders/>
            <w:shd w:fill="CFF0FC" w:val="clear"/>
            <w:vAlign w:val="bottom"/>
          </w:tcPr>
          <w:p>
            <w:pPr>
              <w:pStyle w:val="TableContents"/>
              <w:bidi w:val="0"/>
              <w:spacing w:before="0" w:after="283"/>
              <w:jc w:val="right"/>
              <w:rPr/>
            </w:pPr>
            <w:r>
              <w:rPr/>
              <w:t>0</w:t>
            </w:r>
          </w:p>
        </w:tc>
        <w:tc>
          <w:tcPr>
            <w:tcW w:w="270" w:type="dxa"/>
            <w:tcBorders/>
            <w:shd w:fill="CFF0FC"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Change in Fair Value as of Vesting Date of Stock Awards Granted in Prior Fiscal Years For Which Applicable Vesting Conditions Were Satisfied During Fiscal Year</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220,776</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shd w:fill="CFF0FC" w:val="clear"/>
            <w:vAlign w:val="center"/>
          </w:tcPr>
          <w:p>
            <w:pPr>
              <w:pStyle w:val="TableContents"/>
              <w:bidi w:val="0"/>
              <w:spacing w:before="0" w:after="283"/>
              <w:jc w:val="left"/>
              <w:rPr>
                <w:sz w:val="4"/>
                <w:szCs w:val="4"/>
              </w:rPr>
            </w:pPr>
            <w:r>
              <w:rPr>
                <w:sz w:val="4"/>
                <w:szCs w:val="4"/>
              </w:rPr>
            </w:r>
          </w:p>
        </w:tc>
        <w:tc>
          <w:tcPr>
            <w:tcW w:w="17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8445"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 Fair Value as of Prior Fiscal Year-End of Stock Awards Granted in Prior Fiscal Years That Failed to Meet Applicable Vesting Conditions During Fiscal Year</w:t>
            </w:r>
          </w:p>
        </w:tc>
        <w:tc>
          <w:tcPr>
            <w:tcW w:w="246" w:type="dxa"/>
            <w:tcBorders/>
            <w:shd w:fill="CFF0FC" w:val="clear"/>
            <w:vAlign w:val="bottom"/>
          </w:tcPr>
          <w:p>
            <w:pPr>
              <w:pStyle w:val="TableContents"/>
              <w:bidi w:val="0"/>
              <w:spacing w:before="0" w:after="283"/>
              <w:jc w:val="left"/>
              <w:rPr/>
            </w:pPr>
            <w:r>
              <w:rPr/>
              <w:t>  </w:t>
            </w:r>
          </w:p>
        </w:tc>
        <w:tc>
          <w:tcPr>
            <w:tcW w:w="216" w:type="dxa"/>
            <w:tcBorders/>
            <w:shd w:fill="CFF0FC" w:val="clear"/>
            <w:vAlign w:val="bottom"/>
          </w:tcPr>
          <w:p>
            <w:pPr>
              <w:pStyle w:val="TableContents"/>
              <w:bidi w:val="0"/>
              <w:spacing w:before="0" w:after="283"/>
              <w:jc w:val="left"/>
              <w:rPr/>
            </w:pPr>
            <w:r>
              <w:rPr/>
              <w:t>$</w:t>
            </w:r>
          </w:p>
        </w:tc>
        <w:tc>
          <w:tcPr>
            <w:tcW w:w="1028" w:type="dxa"/>
            <w:tcBorders/>
            <w:shd w:fill="CFF0FC" w:val="clear"/>
            <w:vAlign w:val="bottom"/>
          </w:tcPr>
          <w:p>
            <w:pPr>
              <w:pStyle w:val="TableContents"/>
              <w:bidi w:val="0"/>
              <w:spacing w:before="0" w:after="283"/>
              <w:jc w:val="right"/>
              <w:rPr/>
            </w:pPr>
            <w:r>
              <w:rPr/>
              <w:t>0</w:t>
            </w:r>
          </w:p>
        </w:tc>
        <w:tc>
          <w:tcPr>
            <w:tcW w:w="270" w:type="dxa"/>
            <w:tcBorders/>
            <w:shd w:fill="CFF0FC"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Dividends or Other Earnings Paid on Stock or Option Awards in the Fiscal Year Prior to the Vesting Date that are not otherwise included in the Total Compensation for the Fiscal Year</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0</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shd w:fill="CFF0FC" w:val="clear"/>
            <w:vAlign w:val="center"/>
          </w:tcPr>
          <w:p>
            <w:pPr>
              <w:pStyle w:val="TableContents"/>
              <w:bidi w:val="0"/>
              <w:spacing w:before="0" w:after="283"/>
              <w:jc w:val="left"/>
              <w:rPr>
                <w:sz w:val="4"/>
                <w:szCs w:val="4"/>
              </w:rPr>
            </w:pPr>
            <w:r>
              <w:rPr>
                <w:sz w:val="4"/>
                <w:szCs w:val="4"/>
              </w:rPr>
            </w:r>
          </w:p>
        </w:tc>
        <w:tc>
          <w:tcPr>
            <w:tcW w:w="176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8445" w:type="dxa"/>
            <w:tcBorders>
              <w:bottom w:val="single" w:sz="2" w:space="0" w:color="000000"/>
            </w:tcBorders>
            <w:shd w:fill="CFF0FC" w:val="clear"/>
            <w:tcMar>
              <w:bottom w:w="60" w:type="dxa"/>
            </w:tcMar>
          </w:tcPr>
          <w:p>
            <w:pPr>
              <w:pStyle w:val="TableContents"/>
              <w:bidi w:val="0"/>
              <w:spacing w:before="0" w:after="0"/>
              <w:jc w:val="left"/>
              <w:rPr>
                <w:rFonts w:ascii="Times New Roman" w:hAnsi="Times New Roman"/>
                <w:b/>
                <w:sz w:val="16"/>
              </w:rPr>
            </w:pPr>
            <w:r>
              <w:rPr>
                <w:rFonts w:ascii="Times New Roman" w:hAnsi="Times New Roman"/>
                <w:b/>
                <w:sz w:val="16"/>
              </w:rPr>
              <w:t>Compensation Actually Paid</w:t>
            </w:r>
          </w:p>
        </w:tc>
        <w:tc>
          <w:tcPr>
            <w:tcW w:w="246" w:type="dxa"/>
            <w:tcBorders>
              <w:bottom w:val="single" w:sz="2" w:space="0" w:color="000000"/>
            </w:tcBorders>
            <w:shd w:fill="CFF0FC" w:val="clear"/>
            <w:tcMar>
              <w:bottom w:w="28" w:type="dxa"/>
            </w:tcMar>
            <w:vAlign w:val="bottom"/>
          </w:tcPr>
          <w:p>
            <w:pPr>
              <w:pStyle w:val="TableContents"/>
              <w:bidi w:val="0"/>
              <w:spacing w:before="0" w:after="283"/>
              <w:jc w:val="left"/>
              <w:rPr/>
            </w:pPr>
            <w:r>
              <w:rPr/>
              <w:t>  </w:t>
            </w:r>
          </w:p>
        </w:tc>
        <w:tc>
          <w:tcPr>
            <w:tcW w:w="216" w:type="dxa"/>
            <w:tcBorders>
              <w:bottom w:val="single" w:sz="2" w:space="0" w:color="000000"/>
            </w:tcBorders>
            <w:shd w:fill="CFF0FC" w:val="clear"/>
            <w:tcMar>
              <w:bottom w:w="60" w:type="dxa"/>
            </w:tcMar>
            <w:vAlign w:val="bottom"/>
          </w:tcPr>
          <w:p>
            <w:pPr>
              <w:pStyle w:val="TableContents"/>
              <w:bidi w:val="0"/>
              <w:spacing w:before="0" w:after="283"/>
              <w:jc w:val="left"/>
              <w:rPr>
                <w:b/>
              </w:rPr>
            </w:pPr>
            <w:r>
              <w:rPr>
                <w:b/>
              </w:rPr>
              <w:t>$</w:t>
            </w:r>
          </w:p>
        </w:tc>
        <w:tc>
          <w:tcPr>
            <w:tcW w:w="1028" w:type="dxa"/>
            <w:tcBorders>
              <w:bottom w:val="single" w:sz="2" w:space="0" w:color="000000"/>
            </w:tcBorders>
            <w:shd w:fill="CFF0FC" w:val="clear"/>
            <w:tcMar>
              <w:bottom w:w="60" w:type="dxa"/>
            </w:tcMar>
            <w:vAlign w:val="bottom"/>
          </w:tcPr>
          <w:p>
            <w:pPr>
              <w:pStyle w:val="TableContents"/>
              <w:bidi w:val="0"/>
              <w:spacing w:before="0" w:after="283"/>
              <w:jc w:val="right"/>
              <w:rPr>
                <w:b/>
              </w:rPr>
            </w:pPr>
            <w:r>
              <w:rPr>
                <w:b/>
              </w:rPr>
              <w:t>598,839</w:t>
            </w:r>
          </w:p>
        </w:tc>
        <w:tc>
          <w:tcPr>
            <w:tcW w:w="270" w:type="dxa"/>
            <w:tcBorders>
              <w:bottom w:val="single" w:sz="2" w:space="0" w:color="000000"/>
            </w:tcBorders>
            <w:shd w:fill="CFF0FC" w:val="clear"/>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Non-PEO NEO Average SCT Total to Average CAP Reconciliation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5"/>
        <w:gridCol w:w="246"/>
        <w:gridCol w:w="216"/>
        <w:gridCol w:w="1028"/>
        <w:gridCol w:w="270"/>
      </w:tblGrid>
      <w:tr>
        <w:trPr/>
        <w:tc>
          <w:tcPr>
            <w:tcW w:w="844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bottom w:val="single" w:sz="2" w:space="0" w:color="000000"/>
            </w:tcBorders>
            <w:tcMar>
              <w:bottom w:w="60" w:type="dxa"/>
            </w:tcMar>
            <w:vAlign w:val="bottom"/>
          </w:tcPr>
          <w:p>
            <w:pPr>
              <w:pStyle w:val="TableContents"/>
              <w:bidi w:val="0"/>
              <w:spacing w:before="0" w:after="283"/>
              <w:jc w:val="left"/>
              <w:rPr>
                <w:b/>
              </w:rPr>
            </w:pPr>
            <w:r>
              <w:rPr>
                <w:b/>
              </w:rPr>
              <w:t>Fiscal Year</w:t>
            </w:r>
          </w:p>
        </w:tc>
        <w:tc>
          <w:tcPr>
            <w:tcW w:w="246" w:type="dxa"/>
            <w:tcBorders>
              <w:bottom w:val="single" w:sz="2" w:space="0" w:color="000000"/>
            </w:tcBorders>
            <w:tcMar>
              <w:bottom w:w="28" w:type="dxa"/>
            </w:tcMar>
            <w:vAlign w:val="bottom"/>
          </w:tcPr>
          <w:p>
            <w:pPr>
              <w:pStyle w:val="TableContents"/>
              <w:bidi w:val="0"/>
              <w:spacing w:before="0" w:after="283"/>
              <w:jc w:val="left"/>
              <w:rPr/>
            </w:pPr>
            <w:r>
              <w:rPr/>
              <w:t>  </w:t>
            </w:r>
          </w:p>
        </w:tc>
        <w:tc>
          <w:tcPr>
            <w:tcW w:w="1244" w:type="dxa"/>
            <w:gridSpan w:val="2"/>
            <w:tcBorders>
              <w:bottom w:val="single" w:sz="2" w:space="0" w:color="000000"/>
            </w:tcBorders>
            <w:tcMar>
              <w:bottom w:w="60" w:type="dxa"/>
            </w:tcMar>
            <w:vAlign w:val="bottom"/>
          </w:tcPr>
          <w:p>
            <w:pPr>
              <w:pStyle w:val="TableContents"/>
              <w:bidi w:val="0"/>
              <w:spacing w:before="0" w:after="283"/>
              <w:jc w:val="center"/>
              <w:rPr>
                <w:b/>
              </w:rPr>
            </w:pPr>
            <w:r>
              <w:rPr>
                <w:b/>
              </w:rPr>
              <w:t>2023</w:t>
            </w:r>
          </w:p>
        </w:tc>
        <w:tc>
          <w:tcPr>
            <w:tcW w:w="27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Average SCT Total</w:t>
            </w:r>
          </w:p>
        </w:tc>
        <w:tc>
          <w:tcPr>
            <w:tcW w:w="246"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2,486,737</w:t>
            </w:r>
          </w:p>
        </w:tc>
        <w:tc>
          <w:tcPr>
            <w:tcW w:w="270" w:type="dxa"/>
            <w:tcBorders/>
            <w:shd w:fill="CCEEFF"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Grant Date Fair Value of Stock Awards Granted in Fiscal Year</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1,950,551</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Fair Value at Fiscal Year-End of Outstanding Unvested Stock Awards Granted in Fiscal Year</w:t>
            </w:r>
          </w:p>
        </w:tc>
        <w:tc>
          <w:tcPr>
            <w:tcW w:w="246"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348,985</w:t>
            </w:r>
          </w:p>
        </w:tc>
        <w:tc>
          <w:tcPr>
            <w:tcW w:w="270" w:type="dxa"/>
            <w:tcBorders/>
            <w:shd w:fill="CCEEFF"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Change in Fair Value of Outstanding Unvested Stock Awards Granted in Prior Fiscal Years</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5,746</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Fair Value at Vesting of Stock Awards Granted in Fiscal Year That Vested During Fiscal Year</w:t>
            </w:r>
          </w:p>
        </w:tc>
        <w:tc>
          <w:tcPr>
            <w:tcW w:w="246"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57,645</w:t>
            </w:r>
          </w:p>
        </w:tc>
        <w:tc>
          <w:tcPr>
            <w:tcW w:w="270" w:type="dxa"/>
            <w:tcBorders/>
            <w:shd w:fill="CCEEFF"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Change in Fair Value as of Vesting Date of Stock Awards Granted in Prior Fiscal Years For Which Applicable Vesting Conditions Were Satisfied During Fiscal Year</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9,051</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Fair Value as of Prior Fiscal Year-End of Stock Awards Granted in Prior Fiscal Years That Failed to Meet Applicable Vesting Conditions During Fiscal Year</w:t>
            </w:r>
          </w:p>
        </w:tc>
        <w:tc>
          <w:tcPr>
            <w:tcW w:w="246"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0</w:t>
            </w:r>
          </w:p>
        </w:tc>
        <w:tc>
          <w:tcPr>
            <w:tcW w:w="270" w:type="dxa"/>
            <w:tcBorders/>
            <w:shd w:fill="CCEEFF" w:val="clear"/>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tcPr>
          <w:p>
            <w:pPr>
              <w:pStyle w:val="TableContents"/>
              <w:bidi w:val="0"/>
              <w:spacing w:before="0" w:after="0"/>
              <w:jc w:val="left"/>
              <w:rPr>
                <w:rFonts w:ascii="Times New Roman" w:hAnsi="Times New Roman"/>
                <w:sz w:val="16"/>
              </w:rPr>
            </w:pPr>
            <w:r>
              <w:rPr>
                <w:rFonts w:ascii="Times New Roman" w:hAnsi="Times New Roman"/>
                <w:sz w:val="16"/>
              </w:rPr>
              <w:t>+ Dividends or Other Earnings Paid on Stock or Option Awards in the Fiscal Year Prior to the Vesting Date that are not otherwise included in the Total Compensation for the Fiscal Year</w:t>
            </w:r>
          </w:p>
        </w:tc>
        <w:tc>
          <w:tcPr>
            <w:tcW w:w="246"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0</w:t>
            </w:r>
          </w:p>
        </w:tc>
        <w:tc>
          <w:tcPr>
            <w:tcW w:w="270" w:type="dxa"/>
            <w:tcBorders/>
            <w:vAlign w:val="bottom"/>
          </w:tcPr>
          <w:p>
            <w:pPr>
              <w:pStyle w:val="TableContents"/>
              <w:bidi w:val="0"/>
              <w:spacing w:before="0" w:after="283"/>
              <w:jc w:val="left"/>
              <w:rPr/>
            </w:pPr>
            <w:r>
              <w:rPr/>
              <w:t> </w:t>
            </w:r>
          </w:p>
        </w:tc>
      </w:tr>
      <w:tr>
        <w:trPr>
          <w:trHeight w:val="60" w:hRule="atLeast"/>
        </w:trPr>
        <w:tc>
          <w:tcPr>
            <w:tcW w:w="844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8445" w:type="dxa"/>
            <w:tcBorders>
              <w:bottom w:val="single" w:sz="2" w:space="0" w:color="000000"/>
            </w:tcBorders>
            <w:shd w:fill="CCEEFF" w:val="clear"/>
            <w:tcMar>
              <w:bottom w:w="60" w:type="dxa"/>
            </w:tcMar>
          </w:tcPr>
          <w:p>
            <w:pPr>
              <w:pStyle w:val="TableContents"/>
              <w:bidi w:val="0"/>
              <w:spacing w:before="0" w:after="0"/>
              <w:jc w:val="left"/>
              <w:rPr>
                <w:rFonts w:ascii="Times New Roman" w:hAnsi="Times New Roman"/>
                <w:b/>
                <w:sz w:val="16"/>
              </w:rPr>
            </w:pPr>
            <w:r>
              <w:rPr>
                <w:rFonts w:ascii="Times New Roman" w:hAnsi="Times New Roman"/>
                <w:b/>
                <w:sz w:val="16"/>
              </w:rPr>
              <w:t>Average Compensation Actually Paid</w:t>
            </w:r>
          </w:p>
        </w:tc>
        <w:tc>
          <w:tcPr>
            <w:tcW w:w="2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6" w:type="dxa"/>
            <w:tcBorders>
              <w:bottom w:val="single" w:sz="2" w:space="0" w:color="000000"/>
            </w:tcBorders>
            <w:shd w:fill="CCEEFF" w:val="clear"/>
            <w:tcMar>
              <w:bottom w:w="60" w:type="dxa"/>
            </w:tcMar>
            <w:vAlign w:val="bottom"/>
          </w:tcPr>
          <w:p>
            <w:pPr>
              <w:pStyle w:val="TableContents"/>
              <w:bidi w:val="0"/>
              <w:spacing w:before="0" w:after="283"/>
              <w:jc w:val="left"/>
              <w:rPr>
                <w:b/>
              </w:rPr>
            </w:pPr>
            <w:r>
              <w:rPr>
                <w:b/>
              </w:rPr>
              <w:t>$</w:t>
            </w:r>
          </w:p>
        </w:tc>
        <w:tc>
          <w:tcPr>
            <w:tcW w:w="1028" w:type="dxa"/>
            <w:tcBorders>
              <w:bottom w:val="single" w:sz="2" w:space="0" w:color="000000"/>
            </w:tcBorders>
            <w:shd w:fill="CCEEFF" w:val="clear"/>
            <w:tcMar>
              <w:bottom w:w="60" w:type="dxa"/>
            </w:tcMar>
            <w:vAlign w:val="bottom"/>
          </w:tcPr>
          <w:p>
            <w:pPr>
              <w:pStyle w:val="TableContents"/>
              <w:bidi w:val="0"/>
              <w:spacing w:before="0" w:after="283"/>
              <w:jc w:val="right"/>
              <w:rPr>
                <w:b/>
              </w:rPr>
            </w:pPr>
            <w:r>
              <w:rPr>
                <w:b/>
              </w:rPr>
              <w:t>946,121</w:t>
            </w:r>
          </w:p>
        </w:tc>
        <w:tc>
          <w:tcPr>
            <w:tcW w:w="27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fair value of equity awards was determined using methodologies and assumptions developed in a manner substantively consistent with those used to determine the grant date fair value of such awards. For our stock options valued using the Black-Scholes formula, this resulted in expected term assumptions ranging between 0.50 and 7.42 years, expected volatilities between 83% and 109%, and risk-free rates between 3.3% and 5.2% for fiscal 2023 CAP calculations.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Total Shareholder Return (TSR) represents the cumulative return on a fixed investment of $100 in the Companys common stock, for the period beginning on the last trading day of fiscal year 2020 through the end of the applicable fiscal year. The Company has not paid a dividend during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dollar amounts reported represent the net loss reflected in the Companys audited financial statements for the applicable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CHARTS OF CAP VERSUS PERFORMANCE METRICS </w:t>
      </w:r>
    </w:p>
    <w:p>
      <w:pPr>
        <w:pStyle w:val="TextBody"/>
        <w:bidi w:val="0"/>
        <w:spacing w:before="120" w:after="0"/>
        <w:jc w:val="both"/>
        <w:rPr>
          <w:rFonts w:ascii="Times New Roman" w:hAnsi="Times New Roman"/>
          <w:sz w:val="20"/>
        </w:rPr>
      </w:pPr>
      <w:r>
        <w:rPr>
          <w:rFonts w:ascii="Times New Roman" w:hAnsi="Times New Roman"/>
          <w:sz w:val="20"/>
        </w:rPr>
        <w:t xml:space="preserve">The chart below illustrates the relationship between the PEO and average Non-PEO CAP amounts and the Companys TSR during the period 2021-2023. </w:t>
      </w:r>
    </w:p>
    <w:p>
      <w:pPr>
        <w:pStyle w:val="TextBody"/>
        <w:bidi w:val="0"/>
        <w:spacing w:before="0" w:after="0"/>
        <w:jc w:val="left"/>
        <w:rPr/>
      </w:pPr>
      <w:r>
        <w:rPr/>
        <w:t> </w:t>
      </w:r>
    </w:p>
    <w:p>
      <w:pPr>
        <w:pStyle w:val="TextBody"/>
        <w:bidi w:val="0"/>
        <w:spacing w:before="0" w:after="0"/>
        <w:jc w:val="center"/>
        <w:rPr/>
      </w:pPr>
      <w:r>
        <w:rPr/>
        <w:drawing>
          <wp:inline distT="0" distB="0" distL="0" distR="0">
            <wp:extent cx="460375" cy="244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60375" cy="244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chart below illustrates the relationship between the PEO and Non-PEO CAP amounts and the Companys Net Loss during the period 2021-2023. </w:t>
      </w:r>
    </w:p>
    <w:p>
      <w:pPr>
        <w:pStyle w:val="TextBody"/>
        <w:bidi w:val="0"/>
        <w:spacing w:before="0" w:after="0"/>
        <w:jc w:val="left"/>
        <w:rPr/>
      </w:pPr>
      <w:r>
        <w:rPr/>
        <w:t> </w:t>
      </w:r>
    </w:p>
    <w:p>
      <w:pPr>
        <w:pStyle w:val="TextBody"/>
        <w:bidi w:val="0"/>
        <w:spacing w:before="0" w:after="0"/>
        <w:jc w:val="center"/>
        <w:rPr/>
      </w:pPr>
      <w:r>
        <w:rPr/>
        <w:drawing>
          <wp:inline distT="0" distB="0" distL="0" distR="0">
            <wp:extent cx="461010" cy="244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61010" cy="244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2" w:name="toc800696_31"/>
      <w:bookmarkEnd w:id="32"/>
      <w:r>
        <w:rPr>
          <w:rFonts w:ascii="Times New Roman" w:hAnsi="Times New Roman"/>
          <w:b/>
          <w:sz w:val="20"/>
        </w:rPr>
        <w:t xml:space="preserve">DIRECTOR COMPENSATION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For fiscal 2023, directors who were executives of the Company were not eligible to receive additional compensation for their services as directors. </w:t>
      </w:r>
    </w:p>
    <w:p>
      <w:pPr>
        <w:pStyle w:val="TextBody"/>
        <w:bidi w:val="0"/>
        <w:spacing w:before="240" w:after="0"/>
        <w:jc w:val="both"/>
        <w:rPr>
          <w:rFonts w:ascii="Times New Roman" w:hAnsi="Times New Roman"/>
          <w:sz w:val="20"/>
        </w:rPr>
      </w:pPr>
      <w:r>
        <w:rPr>
          <w:rFonts w:ascii="Times New Roman" w:hAnsi="Times New Roman"/>
          <w:sz w:val="20"/>
        </w:rPr>
        <w:t xml:space="preserve">We maintain our Third Amended and Restated Non-Employee Director Compensation Program (the Non-employee Director Compensation Program) for our non-employee directors, which was most recently amended in April 2024. Pursuant to the Non-Employee Director Compensation Program, our non-employee directors receive cash compensation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non-employee director receives an annual cash retainer in the amount of $40,000 per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chair of our Board receives an additional annual cash retainer in the amount of $60,000 per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Lead Director and, effective in 2024, any Vice Chair receives an additional annual cash retainer in the amount of $60,000 per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chair of the audit committee receives additional annual cash compensation in the amount of $20,000 per year for such chairs service on the audit committee. Each non-chair member of the audit committee receives additional annual cash compensation in the amount of $10,000 per year for such members service on the 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chair of the compensation committee receives additional annual cash compensation in the amount of $15,000 per year for such chairs service on the compensation committee. Each non-chair member of the compensation committee receives additional annual cash compensation in the amount of $6,000 per year for such members service on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chair of the corporate governance committee receives additional annual cash compensation in the amount of $10,000 per year for such chairs service on the corporate governance committee. Each non-chair member of the corporate governance committee receives additional annual cash compensation in the amount of $5,000 per year for such members service on the corporate governance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non-employee director may also elect to receive all or part of his or her annual cash retainer in the form of restricted stock units under our 2021 Incentive Award Plan or, effective in 2024 and to the extent permitted, the Velodyne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and have a grant date fair value equal to the amount of the applicable portion of the annual cash retainer.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the Non-Employee Director Compensation Program, upon the initial appointment or election of a non-employee director, the director will automatically be granted under our 2021 Incentive Award Plan or, effective in 2024 and to the extent permitted, the Velodyne Plan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our common stock as of the date of grant that vests in equal quarterly installments through the date of the next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stockholders meeting. Additionally, on the date of each annual stockholders meeting, each non-employee director automatically will be granted an award of restricted stock units with respect to a number of shares of our common stock calculated by dividing (a) $175,000 by (b) the fair market value of our common stock as of the date of grant that vests in equal quarterly installments through the earlier of the first anniversary of the date of grant or the next annual stockholders meeting. </w:t>
      </w:r>
    </w:p>
    <w:p>
      <w:pPr>
        <w:pStyle w:val="TextBody"/>
        <w:bidi w:val="0"/>
        <w:spacing w:before="240" w:after="0"/>
        <w:jc w:val="both"/>
        <w:rPr>
          <w:rFonts w:ascii="Times New Roman" w:hAnsi="Times New Roman"/>
          <w:sz w:val="20"/>
        </w:rPr>
      </w:pPr>
      <w:r>
        <w:rPr>
          <w:rFonts w:ascii="Times New Roman" w:hAnsi="Times New Roman"/>
          <w:sz w:val="20"/>
        </w:rPr>
        <w:t xml:space="preserve">Additionally, the Non-Employee Director Compensation Program provides that non-employee directors may elect to defer all or part of the settlement of restricted stock units granted to them.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 change in control, all restricted stock units and other equity-based awards held by any non-employee director, will vest immediately prior to such change in control. For this purpose, the merger with Velodyne was deemed a change in control such that the vesting of all restricted stock units and other equity awards held by our non-employee directors accelerated at the closing of the merger on February 10,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Table for Fiscal 2023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contains information concerning the compensation of our non-employee directors in fiscal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93"/>
        <w:gridCol w:w="305"/>
        <w:gridCol w:w="81"/>
        <w:gridCol w:w="1016"/>
        <w:gridCol w:w="60"/>
        <w:gridCol w:w="305"/>
        <w:gridCol w:w="60"/>
        <w:gridCol w:w="847"/>
        <w:gridCol w:w="60"/>
        <w:gridCol w:w="305"/>
        <w:gridCol w:w="60"/>
        <w:gridCol w:w="847"/>
        <w:gridCol w:w="66"/>
      </w:tblGrid>
      <w:tr>
        <w:trPr/>
        <w:tc>
          <w:tcPr>
            <w:tcW w:w="619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193" w:type="dxa"/>
            <w:tcBorders>
              <w:bottom w:val="single" w:sz="2" w:space="0" w:color="000000"/>
            </w:tcBorders>
            <w:tcMar>
              <w:bottom w:w="60" w:type="dxa"/>
            </w:tcMar>
            <w:vAlign w:val="bottom"/>
          </w:tcPr>
          <w:p>
            <w:pPr>
              <w:pStyle w:val="TableContents"/>
              <w:bidi w:val="0"/>
              <w:spacing w:before="0" w:after="283"/>
              <w:jc w:val="center"/>
              <w:rPr>
                <w:b/>
              </w:rPr>
            </w:pPr>
            <w:r>
              <w:rPr>
                <w:b/>
              </w:rPr>
              <w:t>Name</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09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Fees</w:t>
              <w:br/>
              <w:t>Earned or</w:t>
              <w:br/>
              <w:t>Paid in</w:t>
              <w:br/>
              <w:t>Cash</w:t>
              <w:br/>
              <w:t>($)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90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Stock</w:t>
              <w:br/>
              <w:t>Awards</w:t>
              <w:br/>
              <w:t>($)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907" w:type="dxa"/>
            <w:gridSpan w:val="2"/>
            <w:tcBorders>
              <w:bottom w:val="single" w:sz="2" w:space="0" w:color="000000"/>
            </w:tcBorders>
            <w:tcMar>
              <w:bottom w:w="60" w:type="dxa"/>
            </w:tcMar>
            <w:vAlign w:val="bottom"/>
          </w:tcPr>
          <w:p>
            <w:pPr>
              <w:pStyle w:val="TableContents"/>
              <w:bidi w:val="0"/>
              <w:spacing w:before="0" w:after="283"/>
              <w:jc w:val="center"/>
              <w:rPr>
                <w:b/>
              </w:rPr>
            </w:pPr>
            <w:r>
              <w:rPr>
                <w:b/>
              </w:rPr>
              <w:t>Total ($)</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Virginia Boulet</w:t>
            </w:r>
          </w:p>
        </w:tc>
        <w:tc>
          <w:tcPr>
            <w:tcW w:w="30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44,306 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284,969 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329,275 </w:t>
            </w:r>
          </w:p>
        </w:tc>
        <w:tc>
          <w:tcPr>
            <w:tcW w:w="66" w:type="dxa"/>
            <w:tcBorders/>
            <w:shd w:fill="CCEEFF" w:val="clear"/>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tcPr>
          <w:p>
            <w:pPr>
              <w:pStyle w:val="TableContents"/>
              <w:bidi w:val="0"/>
              <w:spacing w:before="0" w:after="0"/>
              <w:jc w:val="left"/>
              <w:rPr>
                <w:rFonts w:ascii="Times New Roman" w:hAnsi="Times New Roman"/>
                <w:sz w:val="16"/>
              </w:rPr>
            </w:pPr>
            <w:r>
              <w:rPr>
                <w:rFonts w:ascii="Times New Roman" w:hAnsi="Times New Roman"/>
                <w:sz w:val="16"/>
              </w:rPr>
              <w:t>Susan Heystee</w:t>
            </w:r>
          </w:p>
        </w:tc>
        <w:tc>
          <w:tcPr>
            <w:tcW w:w="30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90,866 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284,969 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375,835 </w:t>
            </w:r>
          </w:p>
        </w:tc>
        <w:tc>
          <w:tcPr>
            <w:tcW w:w="66" w:type="dxa"/>
            <w:tcBorders/>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Ernest E. Maddock</w:t>
            </w:r>
          </w:p>
        </w:tc>
        <w:tc>
          <w:tcPr>
            <w:tcW w:w="30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58,484 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284,969 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343,453 </w:t>
            </w:r>
          </w:p>
        </w:tc>
        <w:tc>
          <w:tcPr>
            <w:tcW w:w="66" w:type="dxa"/>
            <w:tcBorders/>
            <w:shd w:fill="CCEEFF" w:val="clear"/>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tcPr>
          <w:p>
            <w:pPr>
              <w:pStyle w:val="TableContents"/>
              <w:bidi w:val="0"/>
              <w:spacing w:before="0" w:after="0"/>
              <w:jc w:val="left"/>
              <w:rPr>
                <w:rFonts w:ascii="Times New Roman" w:hAnsi="Times New Roman"/>
                <w:sz w:val="16"/>
              </w:rPr>
            </w:pPr>
            <w:r>
              <w:rPr>
                <w:rFonts w:ascii="Times New Roman" w:hAnsi="Times New Roman"/>
                <w:sz w:val="16"/>
              </w:rPr>
              <w:t>Karin Rådström</w:t>
            </w:r>
          </w:p>
        </w:tc>
        <w:tc>
          <w:tcPr>
            <w:tcW w:w="30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37,628 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284,969 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322,597 </w:t>
            </w:r>
          </w:p>
        </w:tc>
        <w:tc>
          <w:tcPr>
            <w:tcW w:w="66" w:type="dxa"/>
            <w:tcBorders/>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Kristin Slanina</w:t>
            </w:r>
          </w:p>
        </w:tc>
        <w:tc>
          <w:tcPr>
            <w:tcW w:w="30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49,623 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284,969 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334,592 </w:t>
            </w:r>
          </w:p>
        </w:tc>
        <w:tc>
          <w:tcPr>
            <w:tcW w:w="66" w:type="dxa"/>
            <w:tcBorders/>
            <w:shd w:fill="CCEEFF" w:val="clear"/>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tcPr>
          <w:p>
            <w:pPr>
              <w:pStyle w:val="TableContents"/>
              <w:bidi w:val="0"/>
              <w:spacing w:before="0" w:after="0"/>
              <w:jc w:val="left"/>
              <w:rPr>
                <w:rFonts w:ascii="Times New Roman" w:hAnsi="Times New Roman"/>
                <w:sz w:val="16"/>
              </w:rPr>
            </w:pPr>
            <w:r>
              <w:rPr>
                <w:rFonts w:ascii="Times New Roman" w:hAnsi="Times New Roman"/>
                <w:sz w:val="16"/>
              </w:rPr>
              <w:t>Theodore L. Tweksbury, Ph.D.</w:t>
            </w:r>
          </w:p>
        </w:tc>
        <w:tc>
          <w:tcPr>
            <w:tcW w:w="30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88,612 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284,969 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373,581 </w:t>
            </w:r>
          </w:p>
        </w:tc>
        <w:tc>
          <w:tcPr>
            <w:tcW w:w="66" w:type="dxa"/>
            <w:tcBorders/>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Riaz Valani(3)</w:t>
            </w:r>
          </w:p>
        </w:tc>
        <w:tc>
          <w:tcPr>
            <w:tcW w:w="30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tcPr>
          <w:p>
            <w:pPr>
              <w:pStyle w:val="TableContents"/>
              <w:bidi w:val="0"/>
              <w:spacing w:before="0" w:after="0"/>
              <w:jc w:val="left"/>
              <w:rPr>
                <w:rFonts w:ascii="Times New Roman" w:hAnsi="Times New Roman"/>
                <w:sz w:val="16"/>
              </w:rPr>
            </w:pPr>
            <w:r>
              <w:rPr>
                <w:rFonts w:ascii="Times New Roman" w:hAnsi="Times New Roman"/>
                <w:sz w:val="16"/>
              </w:rPr>
              <w:t>Emmanuel Hernandez(4)</w:t>
            </w:r>
          </w:p>
        </w:tc>
        <w:tc>
          <w:tcPr>
            <w:tcW w:w="30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20,258 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20,258 </w:t>
            </w:r>
          </w:p>
        </w:tc>
        <w:tc>
          <w:tcPr>
            <w:tcW w:w="66" w:type="dxa"/>
            <w:tcBorders/>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Sundari Mitra(4)</w:t>
            </w:r>
          </w:p>
        </w:tc>
        <w:tc>
          <w:tcPr>
            <w:tcW w:w="30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13,812 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13,812 </w:t>
            </w:r>
          </w:p>
        </w:tc>
        <w:tc>
          <w:tcPr>
            <w:tcW w:w="66" w:type="dxa"/>
            <w:tcBorders/>
            <w:shd w:fill="CCEEFF" w:val="clear"/>
            <w:vAlign w:val="bottom"/>
          </w:tcPr>
          <w:p>
            <w:pPr>
              <w:pStyle w:val="TableContents"/>
              <w:bidi w:val="0"/>
              <w:spacing w:before="0" w:after="283"/>
              <w:jc w:val="left"/>
              <w:rPr/>
            </w:pPr>
            <w:r>
              <w:rPr/>
              <w:t> </w:t>
            </w:r>
          </w:p>
        </w:tc>
      </w:tr>
      <w:tr>
        <w:trPr>
          <w:trHeight w:val="60" w:hRule="atLeast"/>
        </w:trPr>
        <w:tc>
          <w:tcPr>
            <w:tcW w:w="6193" w:type="dxa"/>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278" w:type="dxa"/>
            <w:gridSpan w:val="4"/>
            <w:tcBorders/>
            <w:vAlign w:val="center"/>
          </w:tcPr>
          <w:p>
            <w:pPr>
              <w:pStyle w:val="TableContents"/>
              <w:bidi w:val="0"/>
              <w:spacing w:before="0" w:after="283"/>
              <w:jc w:val="left"/>
              <w:rPr>
                <w:sz w:val="4"/>
                <w:szCs w:val="4"/>
              </w:rPr>
            </w:pPr>
            <w:r>
              <w:rPr>
                <w:sz w:val="4"/>
                <w:szCs w:val="4"/>
              </w:rPr>
            </w:r>
          </w:p>
        </w:tc>
      </w:tr>
      <w:tr>
        <w:trPr/>
        <w:tc>
          <w:tcPr>
            <w:tcW w:w="6193" w:type="dxa"/>
            <w:tcBorders>
              <w:bottom w:val="single" w:sz="2" w:space="0" w:color="000000"/>
            </w:tcBorders>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Remy W. Trafelet(4)</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81" w:type="dxa"/>
            <w:tcBorders>
              <w:bottom w:val="single" w:sz="2" w:space="0" w:color="000000"/>
            </w:tcBorders>
            <w:tcMar>
              <w:bottom w:w="60" w:type="dxa"/>
            </w:tcMar>
            <w:vAlign w:val="bottom"/>
          </w:tcPr>
          <w:p>
            <w:pPr>
              <w:pStyle w:val="TableContents"/>
              <w:bidi w:val="0"/>
              <w:spacing w:before="0" w:after="283"/>
              <w:jc w:val="left"/>
              <w:rPr/>
            </w:pPr>
            <w:r>
              <w:rPr/>
              <w:t> </w:t>
            </w:r>
          </w:p>
        </w:tc>
        <w:tc>
          <w:tcPr>
            <w:tcW w:w="1016" w:type="dxa"/>
            <w:tcBorders>
              <w:bottom w:val="single" w:sz="2" w:space="0" w:color="000000"/>
            </w:tcBorders>
            <w:tcMar>
              <w:bottom w:w="60" w:type="dxa"/>
            </w:tcMar>
            <w:vAlign w:val="bottom"/>
          </w:tcPr>
          <w:p>
            <w:pPr>
              <w:pStyle w:val="TableContents"/>
              <w:bidi w:val="0"/>
              <w:spacing w:before="0" w:after="283"/>
              <w:jc w:val="right"/>
              <w:rPr/>
            </w:pPr>
            <w:r>
              <w:rPr/>
              <w:t>15,347 </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47"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847" w:type="dxa"/>
            <w:tcBorders>
              <w:bottom w:val="single" w:sz="2" w:space="0" w:color="000000"/>
            </w:tcBorders>
            <w:tcMar>
              <w:bottom w:w="60" w:type="dxa"/>
            </w:tcMar>
            <w:vAlign w:val="bottom"/>
          </w:tcPr>
          <w:p>
            <w:pPr>
              <w:pStyle w:val="TableContents"/>
              <w:bidi w:val="0"/>
              <w:spacing w:before="0" w:after="283"/>
              <w:jc w:val="right"/>
              <w:rPr/>
            </w:pPr>
            <w:r>
              <w:rPr/>
              <w:t>15,347 </w:t>
            </w:r>
          </w:p>
        </w:tc>
        <w:tc>
          <w:tcPr>
            <w:tcW w:w="66"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Each of Mses. Heystee and Rådström elected to receive their annual retainers in fully-vested restricted stock units in lieu of cash. The amounts reported reflect the cash fees that would have been paid had the director not been granted restricted stock units in lieu of annual retainers. Any grant date fair value attributable to the restricted stock units that was in excess of the cash retainer forgone has been reported in the Stock Awards column. Our non-employee directors were also able to defer delivery of the shares underlying vested restricted stock units. As of December 31, 2023, Mses. Heystee and Rådström held 81,716 and 31,190 vested restricted stock units, respectively, for which delivery of the underlying shares has been deferred. The number of restricted stock units reflects our 1 for 10 reverse stock split completed on April 21,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Amounts reflect the full grant-date fair value of stock awards granted during fiscal 2023 computed in accordance with ASC Topic 718, rather than the amounts paid to or realized by the named individual. We provide information regarding the assumptions used to calculate the value of all stock awards made to our non-employee directors in Note 11 of our financial statements included in our Form 10-K.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16"/>
        </w:rPr>
      </w:pPr>
      <w:r>
        <w:rPr>
          <w:rFonts w:ascii="Times New Roman" w:hAnsi="Times New Roman"/>
          <w:sz w:val="16"/>
        </w:rPr>
        <w:t xml:space="preserve">The table below shows the aggregate numbers of shares underlying unvested restricted stock units held as of December 31, 2023 by each non-employee director who was serving as of December 31, 2023. Our non-employee directors did not hold any options or other equity awards that were subject to vesting as of December 31, 2023. The number of restricted stock units reflects our 1 for 10 reverse stock split completed on April 21,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64"/>
        <w:gridCol w:w="906"/>
        <w:gridCol w:w="144"/>
        <w:gridCol w:w="1528"/>
        <w:gridCol w:w="63"/>
      </w:tblGrid>
      <w:tr>
        <w:trPr/>
        <w:tc>
          <w:tcPr>
            <w:tcW w:w="7564" w:type="dxa"/>
            <w:tcBorders/>
            <w:vAlign w:val="center"/>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64" w:type="dxa"/>
            <w:tcBorders>
              <w:bottom w:val="single" w:sz="2" w:space="0" w:color="000000"/>
            </w:tcBorders>
            <w:tcMar>
              <w:bottom w:w="60" w:type="dxa"/>
            </w:tcMar>
            <w:vAlign w:val="bottom"/>
          </w:tcPr>
          <w:p>
            <w:pPr>
              <w:pStyle w:val="TableContents"/>
              <w:bidi w:val="0"/>
              <w:spacing w:before="0" w:after="283"/>
              <w:jc w:val="center"/>
              <w:rPr>
                <w:b/>
              </w:rPr>
            </w:pPr>
            <w:r>
              <w:rPr>
                <w:b/>
              </w:rPr>
              <w:t>Name</w:t>
            </w:r>
          </w:p>
        </w:tc>
        <w:tc>
          <w:tcPr>
            <w:tcW w:w="9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72" w:type="dxa"/>
            <w:gridSpan w:val="2"/>
            <w:tcBorders>
              <w:bottom w:val="single" w:sz="2" w:space="0" w:color="000000"/>
            </w:tcBorders>
            <w:tcMar>
              <w:bottom w:w="60" w:type="dxa"/>
            </w:tcMar>
            <w:vAlign w:val="bottom"/>
          </w:tcPr>
          <w:p>
            <w:pPr>
              <w:pStyle w:val="TableContents"/>
              <w:bidi w:val="0"/>
              <w:spacing w:before="0" w:after="283"/>
              <w:jc w:val="center"/>
              <w:rPr>
                <w:b/>
              </w:rPr>
            </w:pPr>
            <w:r>
              <w:rPr>
                <w:b/>
              </w:rPr>
              <w:t>Restricted Stock</w:t>
              <w:br/>
              <w:t>Units</w:t>
              <w:br/>
              <w:t>Outstanding at</w:t>
              <w:br/>
              <w:t>Fiscal Year End</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7564" w:type="dxa"/>
            <w:tcBorders/>
            <w:shd w:fill="CFF0FC" w:val="clear"/>
            <w:vAlign w:val="center"/>
          </w:tcPr>
          <w:p>
            <w:pPr>
              <w:pStyle w:val="TableContents"/>
              <w:bidi w:val="0"/>
              <w:spacing w:before="0" w:after="283"/>
              <w:jc w:val="left"/>
              <w:rPr>
                <w:sz w:val="4"/>
                <w:szCs w:val="4"/>
              </w:rPr>
            </w:pPr>
            <w:r>
              <w:rPr>
                <w:sz w:val="4"/>
                <w:szCs w:val="4"/>
              </w:rPr>
            </w:r>
          </w:p>
        </w:tc>
        <w:tc>
          <w:tcPr>
            <w:tcW w:w="2641"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7564"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Virginia Boulet</w:t>
            </w:r>
          </w:p>
        </w:tc>
        <w:tc>
          <w:tcPr>
            <w:tcW w:w="906" w:type="dxa"/>
            <w:tcBorders/>
            <w:shd w:fill="CFF0FC" w:val="clear"/>
            <w:vAlign w:val="bottom"/>
          </w:tcPr>
          <w:p>
            <w:pPr>
              <w:pStyle w:val="TableContents"/>
              <w:bidi w:val="0"/>
              <w:spacing w:before="0" w:after="283"/>
              <w:jc w:val="left"/>
              <w:rPr/>
            </w:pPr>
            <w:r>
              <w:rPr/>
              <w:t>  </w:t>
            </w:r>
          </w:p>
        </w:tc>
        <w:tc>
          <w:tcPr>
            <w:tcW w:w="144" w:type="dxa"/>
            <w:tcBorders/>
            <w:shd w:fill="CFF0FC" w:val="clear"/>
            <w:vAlign w:val="bottom"/>
          </w:tcPr>
          <w:p>
            <w:pPr>
              <w:pStyle w:val="TableContents"/>
              <w:bidi w:val="0"/>
              <w:spacing w:before="0" w:after="283"/>
              <w:jc w:val="left"/>
              <w:rPr/>
            </w:pPr>
            <w:r>
              <w:rPr/>
              <w:t> </w:t>
            </w:r>
          </w:p>
        </w:tc>
        <w:tc>
          <w:tcPr>
            <w:tcW w:w="1528" w:type="dxa"/>
            <w:tcBorders/>
            <w:shd w:fill="CFF0FC" w:val="clear"/>
            <w:vAlign w:val="bottom"/>
          </w:tcPr>
          <w:p>
            <w:pPr>
              <w:pStyle w:val="TableContents"/>
              <w:bidi w:val="0"/>
              <w:spacing w:before="0" w:after="283"/>
              <w:jc w:val="right"/>
              <w:rPr/>
            </w:pPr>
            <w:r>
              <w:rPr/>
              <w:t>7,450 </w:t>
            </w:r>
          </w:p>
        </w:tc>
        <w:tc>
          <w:tcPr>
            <w:tcW w:w="63" w:type="dxa"/>
            <w:tcBorders/>
            <w:shd w:fill="CFF0FC" w:val="clear"/>
            <w:vAlign w:val="bottom"/>
          </w:tcPr>
          <w:p>
            <w:pPr>
              <w:pStyle w:val="TableContents"/>
              <w:bidi w:val="0"/>
              <w:spacing w:before="0" w:after="283"/>
              <w:jc w:val="left"/>
              <w:rPr/>
            </w:pPr>
            <w:r>
              <w:rPr/>
              <w:t> </w:t>
            </w:r>
          </w:p>
        </w:tc>
      </w:tr>
      <w:tr>
        <w:trPr>
          <w:trHeight w:val="60" w:hRule="atLeast"/>
        </w:trPr>
        <w:tc>
          <w:tcPr>
            <w:tcW w:w="7564" w:type="dxa"/>
            <w:tcBorders/>
            <w:vAlign w:val="center"/>
          </w:tcPr>
          <w:p>
            <w:pPr>
              <w:pStyle w:val="TableContents"/>
              <w:bidi w:val="0"/>
              <w:spacing w:before="0" w:after="283"/>
              <w:jc w:val="left"/>
              <w:rPr>
                <w:sz w:val="4"/>
                <w:szCs w:val="4"/>
              </w:rPr>
            </w:pPr>
            <w:r>
              <w:rPr>
                <w:sz w:val="4"/>
                <w:szCs w:val="4"/>
              </w:rPr>
            </w:r>
          </w:p>
        </w:tc>
        <w:tc>
          <w:tcPr>
            <w:tcW w:w="2641" w:type="dxa"/>
            <w:gridSpan w:val="4"/>
            <w:tcBorders/>
            <w:vAlign w:val="center"/>
          </w:tcPr>
          <w:p>
            <w:pPr>
              <w:pStyle w:val="TableContents"/>
              <w:bidi w:val="0"/>
              <w:spacing w:before="0" w:after="283"/>
              <w:jc w:val="left"/>
              <w:rPr>
                <w:sz w:val="4"/>
                <w:szCs w:val="4"/>
              </w:rPr>
            </w:pPr>
            <w:r>
              <w:rPr>
                <w:sz w:val="4"/>
                <w:szCs w:val="4"/>
              </w:rPr>
            </w:r>
          </w:p>
        </w:tc>
      </w:tr>
      <w:tr>
        <w:trPr/>
        <w:tc>
          <w:tcPr>
            <w:tcW w:w="7564" w:type="dxa"/>
            <w:tcBorders/>
          </w:tcPr>
          <w:p>
            <w:pPr>
              <w:pStyle w:val="TableContents"/>
              <w:bidi w:val="0"/>
              <w:spacing w:before="0" w:after="0"/>
              <w:jc w:val="left"/>
              <w:rPr>
                <w:rFonts w:ascii="Times New Roman" w:hAnsi="Times New Roman"/>
                <w:sz w:val="16"/>
              </w:rPr>
            </w:pPr>
            <w:r>
              <w:rPr>
                <w:rFonts w:ascii="Times New Roman" w:hAnsi="Times New Roman"/>
                <w:sz w:val="16"/>
              </w:rPr>
              <w:t>Susan Heystee</w:t>
            </w:r>
          </w:p>
        </w:tc>
        <w:tc>
          <w:tcPr>
            <w:tcW w:w="9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7,450 </w:t>
            </w:r>
          </w:p>
        </w:tc>
        <w:tc>
          <w:tcPr>
            <w:tcW w:w="63" w:type="dxa"/>
            <w:tcBorders/>
            <w:vAlign w:val="bottom"/>
          </w:tcPr>
          <w:p>
            <w:pPr>
              <w:pStyle w:val="TableContents"/>
              <w:bidi w:val="0"/>
              <w:spacing w:before="0" w:after="283"/>
              <w:jc w:val="left"/>
              <w:rPr/>
            </w:pPr>
            <w:r>
              <w:rPr/>
              <w:t> </w:t>
            </w:r>
          </w:p>
        </w:tc>
      </w:tr>
      <w:tr>
        <w:trPr>
          <w:trHeight w:val="60" w:hRule="atLeast"/>
        </w:trPr>
        <w:tc>
          <w:tcPr>
            <w:tcW w:w="7564" w:type="dxa"/>
            <w:tcBorders/>
            <w:shd w:fill="CFF0FC" w:val="clear"/>
            <w:vAlign w:val="center"/>
          </w:tcPr>
          <w:p>
            <w:pPr>
              <w:pStyle w:val="TableContents"/>
              <w:bidi w:val="0"/>
              <w:spacing w:before="0" w:after="283"/>
              <w:jc w:val="left"/>
              <w:rPr>
                <w:sz w:val="4"/>
                <w:szCs w:val="4"/>
              </w:rPr>
            </w:pPr>
            <w:r>
              <w:rPr>
                <w:sz w:val="4"/>
                <w:szCs w:val="4"/>
              </w:rPr>
            </w:r>
          </w:p>
        </w:tc>
        <w:tc>
          <w:tcPr>
            <w:tcW w:w="2641"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7564"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Ernest E. Maddock</w:t>
            </w:r>
          </w:p>
        </w:tc>
        <w:tc>
          <w:tcPr>
            <w:tcW w:w="906" w:type="dxa"/>
            <w:tcBorders/>
            <w:shd w:fill="CFF0FC" w:val="clear"/>
            <w:vAlign w:val="bottom"/>
          </w:tcPr>
          <w:p>
            <w:pPr>
              <w:pStyle w:val="TableContents"/>
              <w:bidi w:val="0"/>
              <w:spacing w:before="0" w:after="283"/>
              <w:jc w:val="left"/>
              <w:rPr/>
            </w:pPr>
            <w:r>
              <w:rPr/>
              <w:t>  </w:t>
            </w:r>
          </w:p>
        </w:tc>
        <w:tc>
          <w:tcPr>
            <w:tcW w:w="144" w:type="dxa"/>
            <w:tcBorders/>
            <w:shd w:fill="CFF0FC" w:val="clear"/>
            <w:vAlign w:val="bottom"/>
          </w:tcPr>
          <w:p>
            <w:pPr>
              <w:pStyle w:val="TableContents"/>
              <w:bidi w:val="0"/>
              <w:spacing w:before="0" w:after="283"/>
              <w:jc w:val="left"/>
              <w:rPr/>
            </w:pPr>
            <w:r>
              <w:rPr/>
              <w:t> </w:t>
            </w:r>
          </w:p>
        </w:tc>
        <w:tc>
          <w:tcPr>
            <w:tcW w:w="1528" w:type="dxa"/>
            <w:tcBorders/>
            <w:shd w:fill="CFF0FC" w:val="clear"/>
            <w:vAlign w:val="bottom"/>
          </w:tcPr>
          <w:p>
            <w:pPr>
              <w:pStyle w:val="TableContents"/>
              <w:bidi w:val="0"/>
              <w:spacing w:before="0" w:after="283"/>
              <w:jc w:val="right"/>
              <w:rPr/>
            </w:pPr>
            <w:r>
              <w:rPr/>
              <w:t>7,450 </w:t>
            </w:r>
          </w:p>
        </w:tc>
        <w:tc>
          <w:tcPr>
            <w:tcW w:w="63" w:type="dxa"/>
            <w:tcBorders/>
            <w:shd w:fill="CFF0FC" w:val="clear"/>
            <w:vAlign w:val="bottom"/>
          </w:tcPr>
          <w:p>
            <w:pPr>
              <w:pStyle w:val="TableContents"/>
              <w:bidi w:val="0"/>
              <w:spacing w:before="0" w:after="283"/>
              <w:jc w:val="left"/>
              <w:rPr/>
            </w:pPr>
            <w:r>
              <w:rPr/>
              <w:t> </w:t>
            </w:r>
          </w:p>
        </w:tc>
      </w:tr>
      <w:tr>
        <w:trPr>
          <w:trHeight w:val="60" w:hRule="atLeast"/>
        </w:trPr>
        <w:tc>
          <w:tcPr>
            <w:tcW w:w="7564" w:type="dxa"/>
            <w:tcBorders/>
            <w:vAlign w:val="center"/>
          </w:tcPr>
          <w:p>
            <w:pPr>
              <w:pStyle w:val="TableContents"/>
              <w:bidi w:val="0"/>
              <w:spacing w:before="0" w:after="283"/>
              <w:jc w:val="left"/>
              <w:rPr>
                <w:sz w:val="4"/>
                <w:szCs w:val="4"/>
              </w:rPr>
            </w:pPr>
            <w:r>
              <w:rPr>
                <w:sz w:val="4"/>
                <w:szCs w:val="4"/>
              </w:rPr>
            </w:r>
          </w:p>
        </w:tc>
        <w:tc>
          <w:tcPr>
            <w:tcW w:w="2641" w:type="dxa"/>
            <w:gridSpan w:val="4"/>
            <w:tcBorders/>
            <w:vAlign w:val="center"/>
          </w:tcPr>
          <w:p>
            <w:pPr>
              <w:pStyle w:val="TableContents"/>
              <w:bidi w:val="0"/>
              <w:spacing w:before="0" w:after="283"/>
              <w:jc w:val="left"/>
              <w:rPr>
                <w:sz w:val="4"/>
                <w:szCs w:val="4"/>
              </w:rPr>
            </w:pPr>
            <w:r>
              <w:rPr>
                <w:sz w:val="4"/>
                <w:szCs w:val="4"/>
              </w:rPr>
            </w:r>
          </w:p>
        </w:tc>
      </w:tr>
      <w:tr>
        <w:trPr/>
        <w:tc>
          <w:tcPr>
            <w:tcW w:w="7564" w:type="dxa"/>
            <w:tcBorders/>
          </w:tcPr>
          <w:p>
            <w:pPr>
              <w:pStyle w:val="TableContents"/>
              <w:bidi w:val="0"/>
              <w:spacing w:before="0" w:after="0"/>
              <w:jc w:val="left"/>
              <w:rPr>
                <w:rFonts w:ascii="Times New Roman" w:hAnsi="Times New Roman"/>
                <w:sz w:val="16"/>
              </w:rPr>
            </w:pPr>
            <w:r>
              <w:rPr>
                <w:rFonts w:ascii="Times New Roman" w:hAnsi="Times New Roman"/>
                <w:sz w:val="16"/>
              </w:rPr>
              <w:t>Karin Rådström</w:t>
            </w:r>
          </w:p>
        </w:tc>
        <w:tc>
          <w:tcPr>
            <w:tcW w:w="9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7,450 </w:t>
            </w:r>
          </w:p>
        </w:tc>
        <w:tc>
          <w:tcPr>
            <w:tcW w:w="63" w:type="dxa"/>
            <w:tcBorders/>
            <w:vAlign w:val="bottom"/>
          </w:tcPr>
          <w:p>
            <w:pPr>
              <w:pStyle w:val="TableContents"/>
              <w:bidi w:val="0"/>
              <w:spacing w:before="0" w:after="283"/>
              <w:jc w:val="left"/>
              <w:rPr/>
            </w:pPr>
            <w:r>
              <w:rPr/>
              <w:t> </w:t>
            </w:r>
          </w:p>
        </w:tc>
      </w:tr>
      <w:tr>
        <w:trPr>
          <w:trHeight w:val="60" w:hRule="atLeast"/>
        </w:trPr>
        <w:tc>
          <w:tcPr>
            <w:tcW w:w="7564" w:type="dxa"/>
            <w:tcBorders/>
            <w:shd w:fill="CFF0FC" w:val="clear"/>
            <w:vAlign w:val="center"/>
          </w:tcPr>
          <w:p>
            <w:pPr>
              <w:pStyle w:val="TableContents"/>
              <w:bidi w:val="0"/>
              <w:spacing w:before="0" w:after="283"/>
              <w:jc w:val="left"/>
              <w:rPr>
                <w:sz w:val="4"/>
                <w:szCs w:val="4"/>
              </w:rPr>
            </w:pPr>
            <w:r>
              <w:rPr>
                <w:sz w:val="4"/>
                <w:szCs w:val="4"/>
              </w:rPr>
            </w:r>
          </w:p>
        </w:tc>
        <w:tc>
          <w:tcPr>
            <w:tcW w:w="2641"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7564"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Kristin Slanina</w:t>
            </w:r>
          </w:p>
        </w:tc>
        <w:tc>
          <w:tcPr>
            <w:tcW w:w="906" w:type="dxa"/>
            <w:tcBorders/>
            <w:shd w:fill="CFF0FC" w:val="clear"/>
            <w:vAlign w:val="bottom"/>
          </w:tcPr>
          <w:p>
            <w:pPr>
              <w:pStyle w:val="TableContents"/>
              <w:bidi w:val="0"/>
              <w:spacing w:before="0" w:after="283"/>
              <w:jc w:val="left"/>
              <w:rPr/>
            </w:pPr>
            <w:r>
              <w:rPr/>
              <w:t>  </w:t>
            </w:r>
          </w:p>
        </w:tc>
        <w:tc>
          <w:tcPr>
            <w:tcW w:w="144" w:type="dxa"/>
            <w:tcBorders/>
            <w:shd w:fill="CFF0FC" w:val="clear"/>
            <w:vAlign w:val="bottom"/>
          </w:tcPr>
          <w:p>
            <w:pPr>
              <w:pStyle w:val="TableContents"/>
              <w:bidi w:val="0"/>
              <w:spacing w:before="0" w:after="283"/>
              <w:jc w:val="left"/>
              <w:rPr/>
            </w:pPr>
            <w:r>
              <w:rPr/>
              <w:t> </w:t>
            </w:r>
          </w:p>
        </w:tc>
        <w:tc>
          <w:tcPr>
            <w:tcW w:w="1528" w:type="dxa"/>
            <w:tcBorders/>
            <w:shd w:fill="CFF0FC" w:val="clear"/>
            <w:vAlign w:val="bottom"/>
          </w:tcPr>
          <w:p>
            <w:pPr>
              <w:pStyle w:val="TableContents"/>
              <w:bidi w:val="0"/>
              <w:spacing w:before="0" w:after="283"/>
              <w:jc w:val="right"/>
              <w:rPr/>
            </w:pPr>
            <w:r>
              <w:rPr/>
              <w:t>7,450 </w:t>
            </w:r>
          </w:p>
        </w:tc>
        <w:tc>
          <w:tcPr>
            <w:tcW w:w="63" w:type="dxa"/>
            <w:tcBorders/>
            <w:shd w:fill="CFF0FC" w:val="clear"/>
            <w:vAlign w:val="bottom"/>
          </w:tcPr>
          <w:p>
            <w:pPr>
              <w:pStyle w:val="TableContents"/>
              <w:bidi w:val="0"/>
              <w:spacing w:before="0" w:after="283"/>
              <w:jc w:val="left"/>
              <w:rPr/>
            </w:pPr>
            <w:r>
              <w:rPr/>
              <w:t> </w:t>
            </w:r>
          </w:p>
        </w:tc>
      </w:tr>
      <w:tr>
        <w:trPr>
          <w:trHeight w:val="60" w:hRule="atLeast"/>
        </w:trPr>
        <w:tc>
          <w:tcPr>
            <w:tcW w:w="7564" w:type="dxa"/>
            <w:tcBorders/>
            <w:vAlign w:val="center"/>
          </w:tcPr>
          <w:p>
            <w:pPr>
              <w:pStyle w:val="TableContents"/>
              <w:bidi w:val="0"/>
              <w:spacing w:before="0" w:after="283"/>
              <w:jc w:val="left"/>
              <w:rPr>
                <w:sz w:val="4"/>
                <w:szCs w:val="4"/>
              </w:rPr>
            </w:pPr>
            <w:r>
              <w:rPr>
                <w:sz w:val="4"/>
                <w:szCs w:val="4"/>
              </w:rPr>
            </w:r>
          </w:p>
        </w:tc>
        <w:tc>
          <w:tcPr>
            <w:tcW w:w="2641" w:type="dxa"/>
            <w:gridSpan w:val="4"/>
            <w:tcBorders/>
            <w:vAlign w:val="center"/>
          </w:tcPr>
          <w:p>
            <w:pPr>
              <w:pStyle w:val="TableContents"/>
              <w:bidi w:val="0"/>
              <w:spacing w:before="0" w:after="283"/>
              <w:jc w:val="left"/>
              <w:rPr>
                <w:sz w:val="4"/>
                <w:szCs w:val="4"/>
              </w:rPr>
            </w:pPr>
            <w:r>
              <w:rPr>
                <w:sz w:val="4"/>
                <w:szCs w:val="4"/>
              </w:rPr>
            </w:r>
          </w:p>
        </w:tc>
      </w:tr>
      <w:tr>
        <w:trPr/>
        <w:tc>
          <w:tcPr>
            <w:tcW w:w="7564" w:type="dxa"/>
            <w:tcBorders>
              <w:bottom w:val="single" w:sz="2" w:space="0" w:color="000000"/>
            </w:tcBorders>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Theodore L. Tweksbury, Ph.D.</w:t>
            </w:r>
          </w:p>
        </w:tc>
        <w:tc>
          <w:tcPr>
            <w:tcW w:w="906" w:type="dxa"/>
            <w:tcBorders>
              <w:bottom w:val="single" w:sz="2" w:space="0" w:color="000000"/>
            </w:tcBorders>
            <w:tcMar>
              <w:bottom w:w="28" w:type="dxa"/>
            </w:tcMar>
            <w:vAlign w:val="bottom"/>
          </w:tcPr>
          <w:p>
            <w:pPr>
              <w:pStyle w:val="TableContents"/>
              <w:bidi w:val="0"/>
              <w:spacing w:before="0" w:after="283"/>
              <w:jc w:val="left"/>
              <w:rPr/>
            </w:pPr>
            <w:r>
              <w:rPr/>
              <w:t>  </w:t>
            </w:r>
          </w:p>
        </w:tc>
        <w:tc>
          <w:tcPr>
            <w:tcW w:w="144" w:type="dxa"/>
            <w:tcBorders>
              <w:bottom w:val="single" w:sz="2" w:space="0" w:color="000000"/>
            </w:tcBorders>
            <w:tcMar>
              <w:bottom w:w="60" w:type="dxa"/>
            </w:tcMar>
            <w:vAlign w:val="bottom"/>
          </w:tcPr>
          <w:p>
            <w:pPr>
              <w:pStyle w:val="TableContents"/>
              <w:bidi w:val="0"/>
              <w:spacing w:before="0" w:after="283"/>
              <w:jc w:val="left"/>
              <w:rPr/>
            </w:pPr>
            <w:r>
              <w:rPr/>
              <w:t> </w:t>
            </w:r>
          </w:p>
        </w:tc>
        <w:tc>
          <w:tcPr>
            <w:tcW w:w="1528" w:type="dxa"/>
            <w:tcBorders>
              <w:bottom w:val="single" w:sz="2" w:space="0" w:color="000000"/>
            </w:tcBorders>
            <w:tcMar>
              <w:bottom w:w="60" w:type="dxa"/>
            </w:tcMar>
            <w:vAlign w:val="bottom"/>
          </w:tcPr>
          <w:p>
            <w:pPr>
              <w:pStyle w:val="TableContents"/>
              <w:bidi w:val="0"/>
              <w:spacing w:before="0" w:after="283"/>
              <w:jc w:val="right"/>
              <w:rPr/>
            </w:pPr>
            <w:r>
              <w:rPr/>
              <w:t>7,450 </w:t>
            </w:r>
          </w:p>
        </w:tc>
        <w:tc>
          <w:tcPr>
            <w:tcW w:w="63"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Mr. Valani waived his right to receive all cash retainers and restricted stock unit awards under our Non-Employee Director Compensation Program for fiscal 2023 and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Ms. Mitra and Messrs. Hernandez and Trafelet resigned from our Board upon completion of our merger with Velodyne, effective February 10,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3" w:name="toc800696_32"/>
      <w:bookmarkEnd w:id="33"/>
      <w:r>
        <w:rPr>
          <w:rFonts w:ascii="Times New Roman" w:hAnsi="Times New Roman"/>
          <w:b/>
          <w:sz w:val="20"/>
        </w:rPr>
        <w:t xml:space="preserve">EQUITY COMPENSATION PLAN INFORMATION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Securities Authorized For Issuance under the Companys equity compensation plans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0"/>
        <w:gridCol w:w="460"/>
        <w:gridCol w:w="88"/>
        <w:gridCol w:w="1447"/>
        <w:gridCol w:w="350"/>
        <w:gridCol w:w="404"/>
        <w:gridCol w:w="465"/>
        <w:gridCol w:w="1461"/>
        <w:gridCol w:w="350"/>
        <w:gridCol w:w="404"/>
        <w:gridCol w:w="130"/>
        <w:gridCol w:w="2242"/>
        <w:gridCol w:w="64"/>
      </w:tblGrid>
      <w:tr>
        <w:trPr/>
        <w:tc>
          <w:tcPr>
            <w:tcW w:w="2340"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340" w:type="dxa"/>
            <w:tcBorders>
              <w:bottom w:val="single" w:sz="2" w:space="0" w:color="000000"/>
            </w:tcBorders>
            <w:tcMar>
              <w:bottom w:w="28" w:type="dxa"/>
            </w:tcMar>
            <w:vAlign w:val="bottom"/>
          </w:tcPr>
          <w:p>
            <w:pPr>
              <w:pStyle w:val="TableContents"/>
              <w:bidi w:val="0"/>
              <w:spacing w:before="0" w:after="283"/>
              <w:jc w:val="left"/>
              <w:rPr>
                <w:b/>
              </w:rPr>
            </w:pPr>
            <w:r>
              <w:rPr>
                <w:b/>
              </w:rPr>
              <w:t>Plan category:</w:t>
            </w:r>
          </w:p>
        </w:tc>
        <w:tc>
          <w:tcPr>
            <w:tcW w:w="4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 to</w:t>
              <w:br/>
              <w:t>be Issued</w:t>
              <w:br/>
              <w:t>Upon Exercise</w:t>
              <w:br/>
              <w:t>of Outstanding</w:t>
              <w:br/>
              <w:t>Options,</w:t>
              <w:br/>
              <w:t>Warrants, and</w:t>
              <w:br/>
              <w:t>Rights</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404" w:type="dxa"/>
            <w:tcBorders>
              <w:bottom w:val="single" w:sz="2" w:space="0" w:color="000000"/>
            </w:tcBorders>
            <w:tcMar>
              <w:bottom w:w="28" w:type="dxa"/>
            </w:tcMar>
            <w:vAlign w:val="bottom"/>
          </w:tcPr>
          <w:p>
            <w:pPr>
              <w:pStyle w:val="TableContents"/>
              <w:bidi w:val="0"/>
              <w:spacing w:before="0" w:after="283"/>
              <w:jc w:val="left"/>
              <w:rPr/>
            </w:pPr>
            <w:r>
              <w:rPr/>
              <w:t> </w:t>
            </w:r>
          </w:p>
        </w:tc>
        <w:tc>
          <w:tcPr>
            <w:tcW w:w="19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Weighted-Average</w:t>
              <w:br/>
              <w:t>Exercise Price of</w:t>
              <w:br/>
              <w:t>Outstanding</w:t>
              <w:br/>
              <w:t>Options,</w:t>
              <w:br/>
              <w:t>Warrants, and</w:t>
              <w:br/>
              <w:t>Rights</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404"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 Securities</w:t>
              <w:br/>
              <w:t>Available for Future</w:t>
              <w:br/>
              <w:t>Issuance Under Equity</w:t>
              <w:br/>
              <w:t>Compensation Plans</w:t>
              <w:br/>
              <w:t>(excludes securities</w:t>
              <w:br/>
              <w:t>Reflected in first</w:t>
              <w:br/>
              <w:t>column)</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2340" w:type="dxa"/>
            <w:tcBorders/>
            <w:shd w:fill="CFF0FC" w:val="clear"/>
            <w:vAlign w:val="center"/>
          </w:tcPr>
          <w:p>
            <w:pPr>
              <w:pStyle w:val="TableContents"/>
              <w:bidi w:val="0"/>
              <w:spacing w:before="0" w:after="283"/>
              <w:jc w:val="left"/>
              <w:rPr>
                <w:sz w:val="4"/>
                <w:szCs w:val="4"/>
              </w:rPr>
            </w:pPr>
            <w:r>
              <w:rPr>
                <w:sz w:val="4"/>
                <w:szCs w:val="4"/>
              </w:rPr>
            </w:r>
          </w:p>
        </w:tc>
        <w:tc>
          <w:tcPr>
            <w:tcW w:w="2345" w:type="dxa"/>
            <w:gridSpan w:val="4"/>
            <w:tcBorders/>
            <w:shd w:fill="CFF0FC" w:val="clear"/>
            <w:vAlign w:val="center"/>
          </w:tcPr>
          <w:p>
            <w:pPr>
              <w:pStyle w:val="TableContents"/>
              <w:bidi w:val="0"/>
              <w:spacing w:before="0" w:after="283"/>
              <w:jc w:val="left"/>
              <w:rPr>
                <w:sz w:val="4"/>
                <w:szCs w:val="4"/>
              </w:rPr>
            </w:pPr>
            <w:r>
              <w:rPr>
                <w:sz w:val="4"/>
                <w:szCs w:val="4"/>
              </w:rPr>
            </w:r>
          </w:p>
        </w:tc>
        <w:tc>
          <w:tcPr>
            <w:tcW w:w="2680" w:type="dxa"/>
            <w:gridSpan w:val="4"/>
            <w:tcBorders/>
            <w:shd w:fill="CFF0FC" w:val="clear"/>
            <w:vAlign w:val="center"/>
          </w:tcPr>
          <w:p>
            <w:pPr>
              <w:pStyle w:val="TableContents"/>
              <w:bidi w:val="0"/>
              <w:spacing w:before="0" w:after="283"/>
              <w:jc w:val="left"/>
              <w:rPr>
                <w:sz w:val="4"/>
                <w:szCs w:val="4"/>
              </w:rPr>
            </w:pPr>
            <w:r>
              <w:rPr>
                <w:sz w:val="4"/>
                <w:szCs w:val="4"/>
              </w:rPr>
            </w:r>
          </w:p>
        </w:tc>
        <w:tc>
          <w:tcPr>
            <w:tcW w:w="284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2340"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Equity compensation plans approved by security holders(1)(6)</w:t>
            </w:r>
          </w:p>
        </w:tc>
        <w:tc>
          <w:tcPr>
            <w:tcW w:w="460" w:type="dxa"/>
            <w:tcBorders/>
            <w:shd w:fill="CFF0FC" w:val="clear"/>
            <w:vAlign w:val="bottom"/>
          </w:tcPr>
          <w:p>
            <w:pPr>
              <w:pStyle w:val="TableContents"/>
              <w:bidi w:val="0"/>
              <w:spacing w:before="0" w:after="283"/>
              <w:jc w:val="left"/>
              <w:rPr/>
            </w:pPr>
            <w:r>
              <w:rPr/>
              <w:t>  </w:t>
            </w:r>
          </w:p>
        </w:tc>
        <w:tc>
          <w:tcPr>
            <w:tcW w:w="88" w:type="dxa"/>
            <w:tcBorders/>
            <w:shd w:fill="CFF0FC" w:val="clear"/>
            <w:vAlign w:val="bottom"/>
          </w:tcPr>
          <w:p>
            <w:pPr>
              <w:pStyle w:val="TableContents"/>
              <w:bidi w:val="0"/>
              <w:spacing w:before="0" w:after="283"/>
              <w:jc w:val="left"/>
              <w:rPr/>
            </w:pPr>
            <w:r>
              <w:rPr/>
              <w:t> </w:t>
            </w:r>
          </w:p>
        </w:tc>
        <w:tc>
          <w:tcPr>
            <w:tcW w:w="1447" w:type="dxa"/>
            <w:tcBorders/>
            <w:shd w:fill="CFF0FC" w:val="clear"/>
            <w:vAlign w:val="bottom"/>
          </w:tcPr>
          <w:p>
            <w:pPr>
              <w:pStyle w:val="TableContents"/>
              <w:bidi w:val="0"/>
              <w:spacing w:before="0" w:after="283"/>
              <w:jc w:val="right"/>
              <w:rPr/>
            </w:pPr>
            <w:r>
              <w:rPr/>
              <w:t>4,996,772</w:t>
            </w:r>
          </w:p>
        </w:tc>
        <w:tc>
          <w:tcPr>
            <w:tcW w:w="350" w:type="dxa"/>
            <w:tcBorders/>
            <w:shd w:fill="CFF0FC" w:val="clear"/>
            <w:vAlign w:val="bottom"/>
          </w:tcPr>
          <w:p>
            <w:pPr>
              <w:pStyle w:val="TableContents"/>
              <w:bidi w:val="0"/>
              <w:spacing w:before="0" w:after="283"/>
              <w:jc w:val="left"/>
              <w:rPr/>
            </w:pPr>
            <w:r>
              <w:rPr/>
              <w:t>(2) </w:t>
            </w:r>
          </w:p>
        </w:tc>
        <w:tc>
          <w:tcPr>
            <w:tcW w:w="404" w:type="dxa"/>
            <w:tcBorders/>
            <w:shd w:fill="CFF0FC" w:val="clear"/>
            <w:vAlign w:val="bottom"/>
          </w:tcPr>
          <w:p>
            <w:pPr>
              <w:pStyle w:val="TableContents"/>
              <w:bidi w:val="0"/>
              <w:spacing w:before="0" w:after="283"/>
              <w:jc w:val="left"/>
              <w:rPr/>
            </w:pPr>
            <w:r>
              <w:rPr/>
              <w:t> </w:t>
            </w:r>
          </w:p>
        </w:tc>
        <w:tc>
          <w:tcPr>
            <w:tcW w:w="465" w:type="dxa"/>
            <w:tcBorders/>
            <w:shd w:fill="CFF0FC" w:val="clear"/>
            <w:vAlign w:val="bottom"/>
          </w:tcPr>
          <w:p>
            <w:pPr>
              <w:pStyle w:val="TableContents"/>
              <w:bidi w:val="0"/>
              <w:spacing w:before="0" w:after="283"/>
              <w:jc w:val="left"/>
              <w:rPr/>
            </w:pPr>
            <w:r>
              <w:rPr/>
              <w:t>$</w:t>
            </w:r>
          </w:p>
        </w:tc>
        <w:tc>
          <w:tcPr>
            <w:tcW w:w="1461" w:type="dxa"/>
            <w:tcBorders/>
            <w:shd w:fill="CFF0FC" w:val="clear"/>
            <w:vAlign w:val="bottom"/>
          </w:tcPr>
          <w:p>
            <w:pPr>
              <w:pStyle w:val="TableContents"/>
              <w:bidi w:val="0"/>
              <w:spacing w:before="0" w:after="283"/>
              <w:jc w:val="right"/>
              <w:rPr/>
            </w:pPr>
            <w:r>
              <w:rPr/>
              <w:t>7.36</w:t>
            </w:r>
          </w:p>
        </w:tc>
        <w:tc>
          <w:tcPr>
            <w:tcW w:w="350" w:type="dxa"/>
            <w:tcBorders/>
            <w:shd w:fill="CFF0FC" w:val="clear"/>
            <w:vAlign w:val="bottom"/>
          </w:tcPr>
          <w:p>
            <w:pPr>
              <w:pStyle w:val="TableContents"/>
              <w:bidi w:val="0"/>
              <w:spacing w:before="0" w:after="283"/>
              <w:jc w:val="left"/>
              <w:rPr/>
            </w:pPr>
            <w:r>
              <w:rPr/>
              <w:t>(5) </w:t>
            </w:r>
          </w:p>
        </w:tc>
        <w:tc>
          <w:tcPr>
            <w:tcW w:w="404" w:type="dxa"/>
            <w:tcBorders/>
            <w:shd w:fill="CFF0FC" w:val="clear"/>
            <w:vAlign w:val="bottom"/>
          </w:tcPr>
          <w:p>
            <w:pPr>
              <w:pStyle w:val="TableContents"/>
              <w:bidi w:val="0"/>
              <w:spacing w:before="0" w:after="283"/>
              <w:jc w:val="left"/>
              <w:rPr/>
            </w:pPr>
            <w:r>
              <w:rPr/>
              <w:t> </w:t>
            </w:r>
          </w:p>
        </w:tc>
        <w:tc>
          <w:tcPr>
            <w:tcW w:w="130" w:type="dxa"/>
            <w:tcBorders/>
            <w:shd w:fill="CFF0FC" w:val="clear"/>
            <w:vAlign w:val="bottom"/>
          </w:tcPr>
          <w:p>
            <w:pPr>
              <w:pStyle w:val="TableContents"/>
              <w:bidi w:val="0"/>
              <w:spacing w:before="0" w:after="283"/>
              <w:jc w:val="left"/>
              <w:rPr/>
            </w:pPr>
            <w:r>
              <w:rPr/>
              <w:t> </w:t>
            </w:r>
          </w:p>
        </w:tc>
        <w:tc>
          <w:tcPr>
            <w:tcW w:w="2242" w:type="dxa"/>
            <w:tcBorders/>
            <w:shd w:fill="CFF0FC" w:val="clear"/>
            <w:vAlign w:val="bottom"/>
          </w:tcPr>
          <w:p>
            <w:pPr>
              <w:pStyle w:val="TableContents"/>
              <w:bidi w:val="0"/>
              <w:spacing w:before="0" w:after="283"/>
              <w:jc w:val="right"/>
              <w:rPr/>
            </w:pPr>
            <w:r>
              <w:rPr/>
              <w:t>1,584,833 </w:t>
            </w:r>
          </w:p>
        </w:tc>
        <w:tc>
          <w:tcPr>
            <w:tcW w:w="64" w:type="dxa"/>
            <w:tcBorders/>
            <w:shd w:fill="CFF0FC" w:val="clear"/>
            <w:vAlign w:val="bottom"/>
          </w:tcPr>
          <w:p>
            <w:pPr>
              <w:pStyle w:val="TableContents"/>
              <w:bidi w:val="0"/>
              <w:spacing w:before="0" w:after="283"/>
              <w:jc w:val="left"/>
              <w:rPr/>
            </w:pPr>
            <w:r>
              <w:rPr/>
              <w:t> </w:t>
            </w:r>
          </w:p>
        </w:tc>
      </w:tr>
      <w:tr>
        <w:trPr>
          <w:trHeight w:val="60" w:hRule="atLeast"/>
        </w:trPr>
        <w:tc>
          <w:tcPr>
            <w:tcW w:w="2340"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268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r>
      <w:tr>
        <w:trPr/>
        <w:tc>
          <w:tcPr>
            <w:tcW w:w="2340" w:type="dxa"/>
            <w:tcBorders/>
          </w:tcPr>
          <w:p>
            <w:pPr>
              <w:pStyle w:val="TableContents"/>
              <w:bidi w:val="0"/>
              <w:spacing w:before="0" w:after="0"/>
              <w:jc w:val="left"/>
              <w:rPr>
                <w:rFonts w:ascii="Times New Roman" w:hAnsi="Times New Roman"/>
                <w:sz w:val="16"/>
              </w:rPr>
            </w:pPr>
            <w:r>
              <w:rPr>
                <w:rFonts w:ascii="Times New Roman" w:hAnsi="Times New Roman"/>
                <w:sz w:val="16"/>
              </w:rPr>
              <w:t>Restricted Stock Units</w:t>
            </w:r>
          </w:p>
        </w:tc>
        <w:tc>
          <w:tcPr>
            <w:tcW w:w="4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3,074,939</w:t>
            </w:r>
          </w:p>
        </w:tc>
        <w:tc>
          <w:tcPr>
            <w:tcW w:w="350" w:type="dxa"/>
            <w:tcBorders/>
            <w:vAlign w:val="bottom"/>
          </w:tcPr>
          <w:p>
            <w:pPr>
              <w:pStyle w:val="TableContents"/>
              <w:bidi w:val="0"/>
              <w:spacing w:before="0" w:after="283"/>
              <w:jc w:val="left"/>
              <w:rPr/>
            </w:pPr>
            <w:r>
              <w:rPr/>
              <w:t>(3) </w:t>
            </w:r>
          </w:p>
        </w:tc>
        <w:tc>
          <w:tcPr>
            <w:tcW w:w="404"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(5) </w:t>
            </w:r>
          </w:p>
        </w:tc>
        <w:tc>
          <w:tcPr>
            <w:tcW w:w="40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2340" w:type="dxa"/>
            <w:tcBorders/>
            <w:shd w:fill="CFF0FC" w:val="clear"/>
            <w:vAlign w:val="center"/>
          </w:tcPr>
          <w:p>
            <w:pPr>
              <w:pStyle w:val="TableContents"/>
              <w:bidi w:val="0"/>
              <w:spacing w:before="0" w:after="283"/>
              <w:jc w:val="left"/>
              <w:rPr>
                <w:sz w:val="4"/>
                <w:szCs w:val="4"/>
              </w:rPr>
            </w:pPr>
            <w:r>
              <w:rPr>
                <w:sz w:val="4"/>
                <w:szCs w:val="4"/>
              </w:rPr>
            </w:r>
          </w:p>
        </w:tc>
        <w:tc>
          <w:tcPr>
            <w:tcW w:w="2345" w:type="dxa"/>
            <w:gridSpan w:val="4"/>
            <w:tcBorders/>
            <w:shd w:fill="CFF0FC" w:val="clear"/>
            <w:vAlign w:val="center"/>
          </w:tcPr>
          <w:p>
            <w:pPr>
              <w:pStyle w:val="TableContents"/>
              <w:bidi w:val="0"/>
              <w:spacing w:before="0" w:after="283"/>
              <w:jc w:val="left"/>
              <w:rPr>
                <w:sz w:val="4"/>
                <w:szCs w:val="4"/>
              </w:rPr>
            </w:pPr>
            <w:r>
              <w:rPr>
                <w:sz w:val="4"/>
                <w:szCs w:val="4"/>
              </w:rPr>
            </w:r>
          </w:p>
        </w:tc>
        <w:tc>
          <w:tcPr>
            <w:tcW w:w="2680" w:type="dxa"/>
            <w:gridSpan w:val="4"/>
            <w:tcBorders/>
            <w:shd w:fill="CFF0FC" w:val="clear"/>
            <w:vAlign w:val="center"/>
          </w:tcPr>
          <w:p>
            <w:pPr>
              <w:pStyle w:val="TableContents"/>
              <w:bidi w:val="0"/>
              <w:spacing w:before="0" w:after="283"/>
              <w:jc w:val="left"/>
              <w:rPr>
                <w:sz w:val="4"/>
                <w:szCs w:val="4"/>
              </w:rPr>
            </w:pPr>
            <w:r>
              <w:rPr>
                <w:sz w:val="4"/>
                <w:szCs w:val="4"/>
              </w:rPr>
            </w:r>
          </w:p>
        </w:tc>
        <w:tc>
          <w:tcPr>
            <w:tcW w:w="284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2340"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Restricted Stock Awards</w:t>
            </w:r>
          </w:p>
        </w:tc>
        <w:tc>
          <w:tcPr>
            <w:tcW w:w="460" w:type="dxa"/>
            <w:tcBorders/>
            <w:shd w:fill="CFF0FC" w:val="clear"/>
            <w:vAlign w:val="bottom"/>
          </w:tcPr>
          <w:p>
            <w:pPr>
              <w:pStyle w:val="TableContents"/>
              <w:bidi w:val="0"/>
              <w:spacing w:before="0" w:after="283"/>
              <w:jc w:val="left"/>
              <w:rPr/>
            </w:pPr>
            <w:r>
              <w:rPr/>
              <w:t>  </w:t>
            </w:r>
          </w:p>
        </w:tc>
        <w:tc>
          <w:tcPr>
            <w:tcW w:w="88" w:type="dxa"/>
            <w:tcBorders/>
            <w:shd w:fill="CFF0FC" w:val="clear"/>
            <w:vAlign w:val="bottom"/>
          </w:tcPr>
          <w:p>
            <w:pPr>
              <w:pStyle w:val="TableContents"/>
              <w:bidi w:val="0"/>
              <w:spacing w:before="0" w:after="283"/>
              <w:jc w:val="left"/>
              <w:rPr/>
            </w:pPr>
            <w:r>
              <w:rPr/>
              <w:t> </w:t>
            </w:r>
          </w:p>
        </w:tc>
        <w:tc>
          <w:tcPr>
            <w:tcW w:w="1447" w:type="dxa"/>
            <w:tcBorders/>
            <w:shd w:fill="CFF0FC" w:val="clear"/>
            <w:vAlign w:val="bottom"/>
          </w:tcPr>
          <w:p>
            <w:pPr>
              <w:pStyle w:val="TableContents"/>
              <w:bidi w:val="0"/>
              <w:spacing w:before="0" w:after="283"/>
              <w:jc w:val="right"/>
              <w:rPr/>
            </w:pPr>
            <w:r>
              <w:rPr/>
              <w:t>50,184</w:t>
            </w:r>
          </w:p>
        </w:tc>
        <w:tc>
          <w:tcPr>
            <w:tcW w:w="350" w:type="dxa"/>
            <w:tcBorders/>
            <w:shd w:fill="CFF0FC" w:val="clear"/>
            <w:vAlign w:val="bottom"/>
          </w:tcPr>
          <w:p>
            <w:pPr>
              <w:pStyle w:val="TableContents"/>
              <w:bidi w:val="0"/>
              <w:spacing w:before="0" w:after="283"/>
              <w:jc w:val="left"/>
              <w:rPr/>
            </w:pPr>
            <w:r>
              <w:rPr/>
              <w:t>(7) </w:t>
            </w:r>
          </w:p>
        </w:tc>
        <w:tc>
          <w:tcPr>
            <w:tcW w:w="404" w:type="dxa"/>
            <w:tcBorders/>
            <w:shd w:fill="CFF0FC" w:val="clear"/>
            <w:vAlign w:val="bottom"/>
          </w:tcPr>
          <w:p>
            <w:pPr>
              <w:pStyle w:val="TableContents"/>
              <w:bidi w:val="0"/>
              <w:spacing w:before="0" w:after="283"/>
              <w:jc w:val="left"/>
              <w:rPr/>
            </w:pPr>
            <w:r>
              <w:rPr/>
              <w:t> </w:t>
            </w:r>
          </w:p>
        </w:tc>
        <w:tc>
          <w:tcPr>
            <w:tcW w:w="465" w:type="dxa"/>
            <w:tcBorders/>
            <w:shd w:fill="CFF0FC" w:val="clear"/>
            <w:vAlign w:val="bottom"/>
          </w:tcPr>
          <w:p>
            <w:pPr>
              <w:pStyle w:val="TableContents"/>
              <w:bidi w:val="0"/>
              <w:spacing w:before="0" w:after="283"/>
              <w:jc w:val="left"/>
              <w:rPr/>
            </w:pPr>
            <w:r>
              <w:rPr/>
              <w:t>$</w:t>
            </w:r>
          </w:p>
        </w:tc>
        <w:tc>
          <w:tcPr>
            <w:tcW w:w="1461" w:type="dxa"/>
            <w:tcBorders/>
            <w:shd w:fill="CFF0FC" w:val="clear"/>
            <w:vAlign w:val="bottom"/>
          </w:tcPr>
          <w:p>
            <w:pPr>
              <w:pStyle w:val="TableContents"/>
              <w:bidi w:val="0"/>
              <w:spacing w:before="0" w:after="283"/>
              <w:jc w:val="right"/>
              <w:rPr/>
            </w:pPr>
            <w:r>
              <w:rPr/>
              <w:t>-</w:t>
            </w:r>
          </w:p>
        </w:tc>
        <w:tc>
          <w:tcPr>
            <w:tcW w:w="350" w:type="dxa"/>
            <w:tcBorders/>
            <w:shd w:fill="CFF0FC" w:val="clear"/>
            <w:vAlign w:val="bottom"/>
          </w:tcPr>
          <w:p>
            <w:pPr>
              <w:pStyle w:val="TableContents"/>
              <w:bidi w:val="0"/>
              <w:spacing w:before="0" w:after="283"/>
              <w:jc w:val="left"/>
              <w:rPr/>
            </w:pPr>
            <w:r>
              <w:rPr/>
              <w:t>(5) </w:t>
            </w:r>
          </w:p>
        </w:tc>
        <w:tc>
          <w:tcPr>
            <w:tcW w:w="404" w:type="dxa"/>
            <w:tcBorders/>
            <w:shd w:fill="CFF0FC" w:val="clear"/>
            <w:vAlign w:val="bottom"/>
          </w:tcPr>
          <w:p>
            <w:pPr>
              <w:pStyle w:val="TableContents"/>
              <w:bidi w:val="0"/>
              <w:spacing w:before="0" w:after="283"/>
              <w:jc w:val="left"/>
              <w:rPr/>
            </w:pPr>
            <w:r>
              <w:rPr/>
              <w:t> </w:t>
            </w:r>
          </w:p>
        </w:tc>
        <w:tc>
          <w:tcPr>
            <w:tcW w:w="130" w:type="dxa"/>
            <w:tcBorders/>
            <w:shd w:fill="CFF0FC" w:val="clear"/>
            <w:vAlign w:val="bottom"/>
          </w:tcPr>
          <w:p>
            <w:pPr>
              <w:pStyle w:val="TableContents"/>
              <w:bidi w:val="0"/>
              <w:spacing w:before="0" w:after="283"/>
              <w:jc w:val="left"/>
              <w:rPr>
                <w:sz w:val="4"/>
                <w:szCs w:val="4"/>
              </w:rPr>
            </w:pPr>
            <w:r>
              <w:rPr>
                <w:sz w:val="4"/>
                <w:szCs w:val="4"/>
              </w:rPr>
            </w:r>
          </w:p>
        </w:tc>
        <w:tc>
          <w:tcPr>
            <w:tcW w:w="2242" w:type="dxa"/>
            <w:tcBorders/>
            <w:shd w:fill="CFF0FC" w:val="clear"/>
            <w:vAlign w:val="bottom"/>
          </w:tcPr>
          <w:p>
            <w:pPr>
              <w:pStyle w:val="TableContents"/>
              <w:bidi w:val="0"/>
              <w:spacing w:before="0" w:after="283"/>
              <w:jc w:val="left"/>
              <w:rPr>
                <w:sz w:val="4"/>
                <w:szCs w:val="4"/>
              </w:rPr>
            </w:pPr>
            <w:r>
              <w:rPr>
                <w:sz w:val="4"/>
                <w:szCs w:val="4"/>
              </w:rPr>
            </w:r>
          </w:p>
        </w:tc>
        <w:tc>
          <w:tcPr>
            <w:tcW w:w="64"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2340"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268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r>
      <w:tr>
        <w:trPr/>
        <w:tc>
          <w:tcPr>
            <w:tcW w:w="2340" w:type="dxa"/>
            <w:tcBorders/>
          </w:tcPr>
          <w:p>
            <w:pPr>
              <w:pStyle w:val="TableContents"/>
              <w:bidi w:val="0"/>
              <w:spacing w:before="0" w:after="0"/>
              <w:jc w:val="left"/>
              <w:rPr>
                <w:rFonts w:ascii="Times New Roman" w:hAnsi="Times New Roman"/>
                <w:sz w:val="16"/>
              </w:rPr>
            </w:pPr>
            <w:r>
              <w:rPr>
                <w:rFonts w:ascii="Times New Roman" w:hAnsi="Times New Roman"/>
                <w:sz w:val="16"/>
              </w:rPr>
              <w:t>Options to Purchase Common Stock</w:t>
            </w:r>
          </w:p>
        </w:tc>
        <w:tc>
          <w:tcPr>
            <w:tcW w:w="4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1,871,649</w:t>
            </w:r>
          </w:p>
        </w:tc>
        <w:tc>
          <w:tcPr>
            <w:tcW w:w="350" w:type="dxa"/>
            <w:tcBorders/>
            <w:vAlign w:val="bottom"/>
          </w:tcPr>
          <w:p>
            <w:pPr>
              <w:pStyle w:val="TableContents"/>
              <w:bidi w:val="0"/>
              <w:spacing w:before="0" w:after="283"/>
              <w:jc w:val="left"/>
              <w:rPr/>
            </w:pPr>
            <w:r>
              <w:rPr/>
              <w:t>(4) </w:t>
            </w:r>
          </w:p>
        </w:tc>
        <w:tc>
          <w:tcPr>
            <w:tcW w:w="404"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7.36</w:t>
            </w:r>
          </w:p>
        </w:tc>
        <w:tc>
          <w:tcPr>
            <w:tcW w:w="350" w:type="dxa"/>
            <w:tcBorders/>
            <w:vAlign w:val="bottom"/>
          </w:tcPr>
          <w:p>
            <w:pPr>
              <w:pStyle w:val="TableContents"/>
              <w:bidi w:val="0"/>
              <w:spacing w:before="0" w:after="283"/>
              <w:jc w:val="left"/>
              <w:rPr/>
            </w:pPr>
            <w:r>
              <w:rPr/>
              <w:t>(5) </w:t>
            </w:r>
          </w:p>
        </w:tc>
        <w:tc>
          <w:tcPr>
            <w:tcW w:w="40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224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2340" w:type="dxa"/>
            <w:tcBorders/>
            <w:shd w:fill="CFF0FC" w:val="clear"/>
            <w:vAlign w:val="center"/>
          </w:tcPr>
          <w:p>
            <w:pPr>
              <w:pStyle w:val="TableContents"/>
              <w:bidi w:val="0"/>
              <w:spacing w:before="0" w:after="283"/>
              <w:jc w:val="left"/>
              <w:rPr>
                <w:sz w:val="4"/>
                <w:szCs w:val="4"/>
              </w:rPr>
            </w:pPr>
            <w:r>
              <w:rPr>
                <w:sz w:val="4"/>
                <w:szCs w:val="4"/>
              </w:rPr>
            </w:r>
          </w:p>
        </w:tc>
        <w:tc>
          <w:tcPr>
            <w:tcW w:w="2345" w:type="dxa"/>
            <w:gridSpan w:val="4"/>
            <w:tcBorders/>
            <w:shd w:fill="CFF0FC" w:val="clear"/>
            <w:vAlign w:val="center"/>
          </w:tcPr>
          <w:p>
            <w:pPr>
              <w:pStyle w:val="TableContents"/>
              <w:bidi w:val="0"/>
              <w:spacing w:before="0" w:after="283"/>
              <w:jc w:val="left"/>
              <w:rPr>
                <w:sz w:val="4"/>
                <w:szCs w:val="4"/>
              </w:rPr>
            </w:pPr>
            <w:r>
              <w:rPr>
                <w:sz w:val="4"/>
                <w:szCs w:val="4"/>
              </w:rPr>
            </w:r>
          </w:p>
        </w:tc>
        <w:tc>
          <w:tcPr>
            <w:tcW w:w="2680" w:type="dxa"/>
            <w:gridSpan w:val="4"/>
            <w:tcBorders/>
            <w:shd w:fill="CFF0FC" w:val="clear"/>
            <w:vAlign w:val="center"/>
          </w:tcPr>
          <w:p>
            <w:pPr>
              <w:pStyle w:val="TableContents"/>
              <w:bidi w:val="0"/>
              <w:spacing w:before="0" w:after="283"/>
              <w:jc w:val="left"/>
              <w:rPr>
                <w:sz w:val="4"/>
                <w:szCs w:val="4"/>
              </w:rPr>
            </w:pPr>
            <w:r>
              <w:rPr>
                <w:sz w:val="4"/>
                <w:szCs w:val="4"/>
              </w:rPr>
            </w:r>
          </w:p>
        </w:tc>
        <w:tc>
          <w:tcPr>
            <w:tcW w:w="2840"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2340"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Employee Stock Purchase Plan(6)</w:t>
            </w:r>
          </w:p>
        </w:tc>
        <w:tc>
          <w:tcPr>
            <w:tcW w:w="460" w:type="dxa"/>
            <w:tcBorders/>
            <w:shd w:fill="CFF0FC" w:val="clear"/>
            <w:vAlign w:val="bottom"/>
          </w:tcPr>
          <w:p>
            <w:pPr>
              <w:pStyle w:val="TableContents"/>
              <w:bidi w:val="0"/>
              <w:spacing w:before="0" w:after="283"/>
              <w:jc w:val="left"/>
              <w:rPr/>
            </w:pPr>
            <w:r>
              <w:rPr/>
              <w:t>  </w:t>
            </w:r>
          </w:p>
        </w:tc>
        <w:tc>
          <w:tcPr>
            <w:tcW w:w="88" w:type="dxa"/>
            <w:tcBorders/>
            <w:shd w:fill="CFF0FC" w:val="clear"/>
            <w:vAlign w:val="bottom"/>
          </w:tcPr>
          <w:p>
            <w:pPr>
              <w:pStyle w:val="TableContents"/>
              <w:bidi w:val="0"/>
              <w:spacing w:before="0" w:after="283"/>
              <w:jc w:val="left"/>
              <w:rPr/>
            </w:pPr>
            <w:r>
              <w:rPr/>
              <w:t> </w:t>
            </w:r>
          </w:p>
        </w:tc>
        <w:tc>
          <w:tcPr>
            <w:tcW w:w="1447" w:type="dxa"/>
            <w:tcBorders/>
            <w:shd w:fill="CFF0FC" w:val="clear"/>
            <w:vAlign w:val="bottom"/>
          </w:tcPr>
          <w:p>
            <w:pPr>
              <w:pStyle w:val="TableContents"/>
              <w:bidi w:val="0"/>
              <w:spacing w:before="0" w:after="283"/>
              <w:jc w:val="right"/>
              <w:rPr/>
            </w:pPr>
            <w:r>
              <w:rPr/>
              <w:t>-</w:t>
            </w:r>
          </w:p>
        </w:tc>
        <w:tc>
          <w:tcPr>
            <w:tcW w:w="350" w:type="dxa"/>
            <w:tcBorders/>
            <w:shd w:fill="CFF0FC" w:val="clear"/>
            <w:vAlign w:val="bottom"/>
          </w:tcPr>
          <w:p>
            <w:pPr>
              <w:pStyle w:val="TableContents"/>
              <w:bidi w:val="0"/>
              <w:spacing w:before="0" w:after="283"/>
              <w:jc w:val="left"/>
              <w:rPr/>
            </w:pPr>
            <w:r>
              <w:rPr/>
              <w:t> </w:t>
            </w:r>
          </w:p>
        </w:tc>
        <w:tc>
          <w:tcPr>
            <w:tcW w:w="404" w:type="dxa"/>
            <w:tcBorders/>
            <w:shd w:fill="CFF0FC" w:val="clear"/>
            <w:vAlign w:val="bottom"/>
          </w:tcPr>
          <w:p>
            <w:pPr>
              <w:pStyle w:val="TableContents"/>
              <w:bidi w:val="0"/>
              <w:spacing w:before="0" w:after="283"/>
              <w:jc w:val="left"/>
              <w:rPr/>
            </w:pPr>
            <w:r>
              <w:rPr/>
              <w:t> </w:t>
            </w:r>
          </w:p>
        </w:tc>
        <w:tc>
          <w:tcPr>
            <w:tcW w:w="465" w:type="dxa"/>
            <w:tcBorders/>
            <w:shd w:fill="CFF0FC" w:val="clear"/>
            <w:vAlign w:val="bottom"/>
          </w:tcPr>
          <w:p>
            <w:pPr>
              <w:pStyle w:val="TableContents"/>
              <w:bidi w:val="0"/>
              <w:spacing w:before="0" w:after="283"/>
              <w:jc w:val="left"/>
              <w:rPr/>
            </w:pPr>
            <w:r>
              <w:rPr/>
              <w:t>$</w:t>
            </w:r>
          </w:p>
        </w:tc>
        <w:tc>
          <w:tcPr>
            <w:tcW w:w="1461" w:type="dxa"/>
            <w:tcBorders/>
            <w:shd w:fill="CFF0FC" w:val="clear"/>
            <w:vAlign w:val="bottom"/>
          </w:tcPr>
          <w:p>
            <w:pPr>
              <w:pStyle w:val="TableContents"/>
              <w:bidi w:val="0"/>
              <w:spacing w:before="0" w:after="283"/>
              <w:jc w:val="right"/>
              <w:rPr/>
            </w:pPr>
            <w:r>
              <w:rPr/>
              <w:t>-</w:t>
            </w:r>
          </w:p>
        </w:tc>
        <w:tc>
          <w:tcPr>
            <w:tcW w:w="350" w:type="dxa"/>
            <w:tcBorders/>
            <w:shd w:fill="CFF0FC" w:val="clear"/>
            <w:vAlign w:val="bottom"/>
          </w:tcPr>
          <w:p>
            <w:pPr>
              <w:pStyle w:val="TableContents"/>
              <w:bidi w:val="0"/>
              <w:spacing w:before="0" w:after="283"/>
              <w:jc w:val="left"/>
              <w:rPr/>
            </w:pPr>
            <w:r>
              <w:rPr/>
              <w:t> </w:t>
            </w:r>
          </w:p>
        </w:tc>
        <w:tc>
          <w:tcPr>
            <w:tcW w:w="404" w:type="dxa"/>
            <w:tcBorders/>
            <w:shd w:fill="CFF0FC" w:val="clear"/>
            <w:vAlign w:val="bottom"/>
          </w:tcPr>
          <w:p>
            <w:pPr>
              <w:pStyle w:val="TableContents"/>
              <w:bidi w:val="0"/>
              <w:spacing w:before="0" w:after="283"/>
              <w:jc w:val="left"/>
              <w:rPr/>
            </w:pPr>
            <w:r>
              <w:rPr/>
              <w:t> </w:t>
            </w:r>
          </w:p>
        </w:tc>
        <w:tc>
          <w:tcPr>
            <w:tcW w:w="130" w:type="dxa"/>
            <w:tcBorders/>
            <w:shd w:fill="CFF0FC" w:val="clear"/>
            <w:vAlign w:val="bottom"/>
          </w:tcPr>
          <w:p>
            <w:pPr>
              <w:pStyle w:val="TableContents"/>
              <w:bidi w:val="0"/>
              <w:spacing w:before="0" w:after="283"/>
              <w:jc w:val="left"/>
              <w:rPr>
                <w:sz w:val="4"/>
                <w:szCs w:val="4"/>
              </w:rPr>
            </w:pPr>
            <w:r>
              <w:rPr>
                <w:sz w:val="4"/>
                <w:szCs w:val="4"/>
              </w:rPr>
            </w:r>
          </w:p>
        </w:tc>
        <w:tc>
          <w:tcPr>
            <w:tcW w:w="2242" w:type="dxa"/>
            <w:tcBorders/>
            <w:shd w:fill="CFF0FC" w:val="clear"/>
            <w:vAlign w:val="bottom"/>
          </w:tcPr>
          <w:p>
            <w:pPr>
              <w:pStyle w:val="TableContents"/>
              <w:bidi w:val="0"/>
              <w:spacing w:before="0" w:after="283"/>
              <w:jc w:val="left"/>
              <w:rPr>
                <w:sz w:val="4"/>
                <w:szCs w:val="4"/>
              </w:rPr>
            </w:pPr>
            <w:r>
              <w:rPr>
                <w:sz w:val="4"/>
                <w:szCs w:val="4"/>
              </w:rPr>
            </w:r>
          </w:p>
        </w:tc>
        <w:tc>
          <w:tcPr>
            <w:tcW w:w="64"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2340"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268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r>
      <w:tr>
        <w:trPr/>
        <w:tc>
          <w:tcPr>
            <w:tcW w:w="2340" w:type="dxa"/>
            <w:tcBorders>
              <w:bottom w:val="single" w:sz="2" w:space="0" w:color="000000"/>
            </w:tcBorders>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Equity compensation plans not approved by security holders</w:t>
            </w:r>
          </w:p>
        </w:tc>
        <w:tc>
          <w:tcPr>
            <w:tcW w:w="460" w:type="dxa"/>
            <w:tcBorders>
              <w:bottom w:val="single" w:sz="2" w:space="0" w:color="000000"/>
            </w:tcBorders>
            <w:tcMar>
              <w:bottom w:w="28" w:type="dxa"/>
            </w:tcMar>
            <w:vAlign w:val="bottom"/>
          </w:tcPr>
          <w:p>
            <w:pPr>
              <w:pStyle w:val="TableContents"/>
              <w:bidi w:val="0"/>
              <w:spacing w:before="0" w:after="283"/>
              <w:jc w:val="left"/>
              <w:rPr/>
            </w:pPr>
            <w:r>
              <w:rPr/>
              <w:t>  </w:t>
            </w:r>
          </w:p>
        </w:tc>
        <w:tc>
          <w:tcPr>
            <w:tcW w:w="88" w:type="dxa"/>
            <w:tcBorders>
              <w:bottom w:val="single" w:sz="2" w:space="0" w:color="000000"/>
            </w:tcBorders>
            <w:tcMar>
              <w:bottom w:w="60" w:type="dxa"/>
            </w:tcMar>
            <w:vAlign w:val="bottom"/>
          </w:tcPr>
          <w:p>
            <w:pPr>
              <w:pStyle w:val="TableContents"/>
              <w:bidi w:val="0"/>
              <w:spacing w:before="0" w:after="283"/>
              <w:jc w:val="left"/>
              <w:rPr/>
            </w:pPr>
            <w:r>
              <w:rPr/>
              <w:t> </w:t>
            </w:r>
          </w:p>
        </w:tc>
        <w:tc>
          <w:tcPr>
            <w:tcW w:w="1447" w:type="dxa"/>
            <w:tcBorders>
              <w:bottom w:val="single" w:sz="2" w:space="0" w:color="000000"/>
            </w:tcBorders>
            <w:tcMar>
              <w:bottom w:w="60" w:type="dxa"/>
            </w:tcMar>
            <w:vAlign w:val="bottom"/>
          </w:tcPr>
          <w:p>
            <w:pPr>
              <w:pStyle w:val="TableContents"/>
              <w:bidi w:val="0"/>
              <w:spacing w:before="0" w:after="283"/>
              <w:jc w:val="right"/>
              <w:rPr/>
            </w:pPr>
            <w:r>
              <w:rPr/>
              <w:t>-</w:t>
            </w:r>
          </w:p>
        </w:tc>
        <w:tc>
          <w:tcPr>
            <w:tcW w:w="350" w:type="dxa"/>
            <w:tcBorders>
              <w:bottom w:val="single" w:sz="2" w:space="0" w:color="000000"/>
            </w:tcBorders>
            <w:tcMar>
              <w:bottom w:w="60" w:type="dxa"/>
            </w:tcMar>
            <w:vAlign w:val="bottom"/>
          </w:tcPr>
          <w:p>
            <w:pPr>
              <w:pStyle w:val="TableContents"/>
              <w:bidi w:val="0"/>
              <w:spacing w:before="0" w:after="283"/>
              <w:jc w:val="left"/>
              <w:rPr/>
            </w:pPr>
            <w:r>
              <w:rPr/>
              <w:t> </w:t>
            </w:r>
          </w:p>
        </w:tc>
        <w:tc>
          <w:tcPr>
            <w:tcW w:w="404" w:type="dxa"/>
            <w:tcBorders>
              <w:bottom w:val="single" w:sz="2" w:space="0" w:color="000000"/>
            </w:tcBorders>
            <w:tcMar>
              <w:bottom w:w="28" w:type="dxa"/>
            </w:tcMar>
            <w:vAlign w:val="bottom"/>
          </w:tcPr>
          <w:p>
            <w:pPr>
              <w:pStyle w:val="TableContents"/>
              <w:bidi w:val="0"/>
              <w:spacing w:before="0" w:after="283"/>
              <w:jc w:val="left"/>
              <w:rPr/>
            </w:pPr>
            <w:r>
              <w:rPr/>
              <w:t> </w:t>
            </w:r>
          </w:p>
        </w:tc>
        <w:tc>
          <w:tcPr>
            <w:tcW w:w="465" w:type="dxa"/>
            <w:tcBorders>
              <w:bottom w:val="single" w:sz="2" w:space="0" w:color="000000"/>
            </w:tcBorders>
            <w:tcMar>
              <w:bottom w:w="60" w:type="dxa"/>
            </w:tcMar>
            <w:vAlign w:val="bottom"/>
          </w:tcPr>
          <w:p>
            <w:pPr>
              <w:pStyle w:val="TableContents"/>
              <w:bidi w:val="0"/>
              <w:spacing w:before="0" w:after="283"/>
              <w:jc w:val="left"/>
              <w:rPr/>
            </w:pPr>
            <w:r>
              <w:rPr/>
              <w:t>$</w:t>
            </w:r>
          </w:p>
        </w:tc>
        <w:tc>
          <w:tcPr>
            <w:tcW w:w="1461" w:type="dxa"/>
            <w:tcBorders>
              <w:bottom w:val="single" w:sz="2" w:space="0" w:color="000000"/>
            </w:tcBorders>
            <w:tcMar>
              <w:bottom w:w="60" w:type="dxa"/>
            </w:tcMar>
            <w:vAlign w:val="bottom"/>
          </w:tcPr>
          <w:p>
            <w:pPr>
              <w:pStyle w:val="TableContents"/>
              <w:bidi w:val="0"/>
              <w:spacing w:before="0" w:after="283"/>
              <w:jc w:val="right"/>
              <w:rPr/>
            </w:pPr>
            <w:r>
              <w:rPr/>
              <w:t>-</w:t>
            </w:r>
          </w:p>
        </w:tc>
        <w:tc>
          <w:tcPr>
            <w:tcW w:w="350" w:type="dxa"/>
            <w:tcBorders>
              <w:bottom w:val="single" w:sz="2" w:space="0" w:color="000000"/>
            </w:tcBorders>
            <w:tcMar>
              <w:bottom w:w="60" w:type="dxa"/>
            </w:tcMar>
            <w:vAlign w:val="bottom"/>
          </w:tcPr>
          <w:p>
            <w:pPr>
              <w:pStyle w:val="TableContents"/>
              <w:bidi w:val="0"/>
              <w:spacing w:before="0" w:after="283"/>
              <w:jc w:val="left"/>
              <w:rPr/>
            </w:pPr>
            <w:r>
              <w:rPr/>
              <w:t> </w:t>
            </w:r>
          </w:p>
        </w:tc>
        <w:tc>
          <w:tcPr>
            <w:tcW w:w="404" w:type="dxa"/>
            <w:tcBorders>
              <w:bottom w:val="single" w:sz="2" w:space="0" w:color="000000"/>
            </w:tcBorders>
            <w:tcMar>
              <w:bottom w:w="28" w:type="dxa"/>
            </w:tcMar>
            <w:vAlign w:val="bottom"/>
          </w:tcPr>
          <w:p>
            <w:pPr>
              <w:pStyle w:val="TableContents"/>
              <w:bidi w:val="0"/>
              <w:spacing w:before="0" w:after="283"/>
              <w:jc w:val="left"/>
              <w:rPr/>
            </w:pPr>
            <w:r>
              <w:rPr/>
              <w:t> </w:t>
            </w:r>
          </w:p>
        </w:tc>
        <w:tc>
          <w:tcPr>
            <w:tcW w:w="130" w:type="dxa"/>
            <w:tcBorders>
              <w:bottom w:val="single" w:sz="2" w:space="0" w:color="000000"/>
            </w:tcBorders>
            <w:tcMar>
              <w:bottom w:w="60" w:type="dxa"/>
            </w:tcMar>
            <w:vAlign w:val="bottom"/>
          </w:tcPr>
          <w:p>
            <w:pPr>
              <w:pStyle w:val="TableContents"/>
              <w:bidi w:val="0"/>
              <w:spacing w:before="0" w:after="283"/>
              <w:jc w:val="left"/>
              <w:rPr/>
            </w:pPr>
            <w:r>
              <w:rPr/>
              <w:t> </w:t>
            </w:r>
          </w:p>
        </w:tc>
        <w:tc>
          <w:tcPr>
            <w:tcW w:w="2242" w:type="dxa"/>
            <w:tcBorders>
              <w:bottom w:val="single" w:sz="2" w:space="0" w:color="000000"/>
            </w:tcBorders>
            <w:tcMar>
              <w:bottom w:w="60" w:type="dxa"/>
            </w:tcMar>
            <w:vAlign w:val="bottom"/>
          </w:tcPr>
          <w:p>
            <w:pPr>
              <w:pStyle w:val="TableContents"/>
              <w:bidi w:val="0"/>
              <w:spacing w:before="0" w:after="283"/>
              <w:jc w:val="right"/>
              <w:rPr/>
            </w:pPr>
            <w:r>
              <w:rPr/>
              <w:t>- </w:t>
            </w:r>
          </w:p>
        </w:tc>
        <w:tc>
          <w:tcPr>
            <w:tcW w:w="64"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the Ouster, Inc. 2021 Incentive Award Plan (2021 Plan), Velodyne 2020 Equity Incentive plan (the Velodyne Plan), Ouster Inc. Amended and Restated 2015 Stock Plan (2015 Plan) and Sense Photonics, Inc. 2017 Equity Incentive Plan and (Sense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No additional awards will be granted under the 2015 Plan or the Sense Plan and, as a result, no shares remain available for issuance for new awards under the 2015 Plan or the Sense Plan. The number of shares authorized under our Velodyne 2020 Plan will increase on the first day of each calendar year beginning on January 1, 2021 and ending on (and including) January 1, 2030, equal to the lesser of (A) 820,400 shares of common stock and (B) such lesser number of shares as determined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2,062,787 outstanding restricted stock units under the 2021 Plan, 949,128 outstanding restricted stock units under the Velodyne Plan, and 63,024 outstanding restricted stock units under the Sense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1,856,434 outstanding options to purchase stock under the 2015 Plan and 15,215 outstanding options to purchase stock under the Sense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As of December 31, 2023, the weighted-average exercise price of outstanding options under the 2015 Plan was $6.99 and the weighted-average exercise price of outstanding options under the Sense Plan was $52.40. Outstanding restricted stock units and restricted stock awards subject to time-based vesting do not have an exercise price and therefore are not included in the calculation of the weighted-average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102,338 shares remaining available for issuance under the 2021 Plan, 1,077,184 shares available for issuance under the Velodyne Plan and 405,311 available for purchase by our employees under the Ouster, Inc 2022 Employee Stock Purchase Plan. A maximum of 336,000 shares of common stock were purchasable under the 2022 Employee Stock Purchase Plan for the offering period ongoing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50,184 outstanding shares of restricted stock under the Velodyne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4" w:name="toc800696_33"/>
      <w:bookmarkEnd w:id="34"/>
      <w:r>
        <w:rPr>
          <w:rFonts w:ascii="Times New Roman" w:hAnsi="Times New Roman"/>
          <w:b/>
          <w:sz w:val="20"/>
        </w:rPr>
        <w:t xml:space="preserve">SECURITY OWNERSHIP OF CERTAIN BENEFICIAL OWNERS AND MANAGEMENT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with respect to the beneficial ownership of our common stock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and director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number of shares beneficially owned by each stockholder as described in this proxy statement is determined in accordance with the rules of the SEC. Under such SEC rules, beneficial ownership includes any shares as to which the individual or entity has sole or shared voting power or investment power. Applicable percentage ownership is based on 45,060,877 shares of common stock outstanding as of April 15, 2024.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all listed stockholders is 350 Treat Avenue, San Francisco, California 94110. Each of the stockholders listed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41"/>
        <w:gridCol w:w="633"/>
        <w:gridCol w:w="64"/>
        <w:gridCol w:w="1103"/>
        <w:gridCol w:w="66"/>
        <w:gridCol w:w="475"/>
        <w:gridCol w:w="92"/>
        <w:gridCol w:w="687"/>
        <w:gridCol w:w="444"/>
      </w:tblGrid>
      <w:tr>
        <w:trPr/>
        <w:tc>
          <w:tcPr>
            <w:tcW w:w="6641" w:type="dxa"/>
            <w:tcBorders/>
            <w:vAlign w:val="center"/>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r>
      <w:tr>
        <w:trPr/>
        <w:tc>
          <w:tcPr>
            <w:tcW w:w="6641" w:type="dxa"/>
            <w:tcBorders>
              <w:bottom w:val="single" w:sz="2" w:space="0" w:color="000000"/>
            </w:tcBorders>
            <w:tcMar>
              <w:bottom w:w="60" w:type="dxa"/>
            </w:tcMar>
            <w:vAlign w:val="bottom"/>
          </w:tcPr>
          <w:p>
            <w:pPr>
              <w:pStyle w:val="TableContents"/>
              <w:bidi w:val="0"/>
              <w:spacing w:before="0" w:after="0"/>
              <w:jc w:val="left"/>
              <w:rPr>
                <w:rFonts w:ascii="Times New Roman" w:hAnsi="Times New Roman"/>
                <w:b/>
                <w:sz w:val="18"/>
              </w:rPr>
            </w:pPr>
            <w:r>
              <w:rPr>
                <w:rFonts w:ascii="Times New Roman" w:hAnsi="Times New Roman"/>
                <w:b/>
                <w:sz w:val="18"/>
              </w:rPr>
              <w:t>Name of Beneficial Owner</w:t>
            </w:r>
          </w:p>
        </w:tc>
        <w:tc>
          <w:tcPr>
            <w:tcW w:w="6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33" w:type="dxa"/>
            <w:gridSpan w:val="3"/>
            <w:tcBorders>
              <w:bottom w:val="single" w:sz="2" w:space="0" w:color="000000"/>
            </w:tcBorders>
            <w:tcMar>
              <w:bottom w:w="60" w:type="dxa"/>
            </w:tcMar>
            <w:vAlign w:val="bottom"/>
          </w:tcPr>
          <w:p>
            <w:pPr>
              <w:pStyle w:val="TableContents"/>
              <w:bidi w:val="0"/>
              <w:spacing w:before="0" w:after="283"/>
              <w:jc w:val="center"/>
              <w:rPr>
                <w:b/>
              </w:rPr>
            </w:pPr>
            <w:r>
              <w:rPr>
                <w:b/>
              </w:rPr>
              <w:t>Number of</w:t>
              <w:br/>
              <w:t>Shares</w:t>
              <w:br/>
              <w:t>Beneficially</w:t>
              <w:br/>
              <w:t>Owned</w:t>
            </w:r>
          </w:p>
        </w:tc>
        <w:tc>
          <w:tcPr>
            <w:tcW w:w="47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3" w:type="dxa"/>
            <w:gridSpan w:val="3"/>
            <w:tcBorders>
              <w:bottom w:val="single" w:sz="2" w:space="0" w:color="000000"/>
            </w:tcBorders>
            <w:tcMar>
              <w:bottom w:w="60" w:type="dxa"/>
            </w:tcMar>
            <w:vAlign w:val="bottom"/>
          </w:tcPr>
          <w:p>
            <w:pPr>
              <w:pStyle w:val="TableContents"/>
              <w:bidi w:val="0"/>
              <w:spacing w:before="0" w:after="283"/>
              <w:jc w:val="center"/>
              <w:rPr>
                <w:b/>
              </w:rPr>
            </w:pPr>
            <w:r>
              <w:rPr>
                <w:b/>
              </w:rPr>
              <w:t>Percentage</w:t>
              <w:br/>
              <w:t>of Shares</w:t>
              <w:br/>
              <w:t>Beneficially</w:t>
              <w:br/>
              <w:t>Owned</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5% or Greater Stockholders</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sz w:val="4"/>
                <w:szCs w:val="4"/>
              </w:rPr>
            </w:pPr>
            <w:r>
              <w:rPr>
                <w:sz w:val="4"/>
                <w:szCs w:val="4"/>
              </w:rPr>
            </w:r>
          </w:p>
        </w:tc>
        <w:tc>
          <w:tcPr>
            <w:tcW w:w="1103" w:type="dxa"/>
            <w:tcBorders/>
            <w:shd w:fill="CFF0FC" w:val="clear"/>
            <w:vAlign w:val="bottom"/>
          </w:tcPr>
          <w:p>
            <w:pPr>
              <w:pStyle w:val="TableContents"/>
              <w:bidi w:val="0"/>
              <w:spacing w:before="0" w:after="283"/>
              <w:jc w:val="left"/>
              <w:rPr>
                <w:sz w:val="4"/>
                <w:szCs w:val="4"/>
              </w:rPr>
            </w:pPr>
            <w:r>
              <w:rPr>
                <w:sz w:val="4"/>
                <w:szCs w:val="4"/>
              </w:rPr>
            </w:r>
          </w:p>
        </w:tc>
        <w:tc>
          <w:tcPr>
            <w:tcW w:w="66" w:type="dxa"/>
            <w:tcBorders/>
            <w:shd w:fill="CFF0FC" w:val="clear"/>
            <w:vAlign w:val="bottom"/>
          </w:tcPr>
          <w:p>
            <w:pPr>
              <w:pStyle w:val="TableContents"/>
              <w:bidi w:val="0"/>
              <w:spacing w:before="0" w:after="283"/>
              <w:jc w:val="left"/>
              <w:rPr>
                <w:sz w:val="4"/>
                <w:szCs w:val="4"/>
              </w:rPr>
            </w:pPr>
            <w:r>
              <w:rPr>
                <w:sz w:val="4"/>
                <w:szCs w:val="4"/>
              </w:rPr>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sz w:val="4"/>
                <w:szCs w:val="4"/>
              </w:rPr>
            </w:pPr>
            <w:r>
              <w:rPr>
                <w:sz w:val="4"/>
                <w:szCs w:val="4"/>
              </w:rPr>
            </w:r>
          </w:p>
        </w:tc>
        <w:tc>
          <w:tcPr>
            <w:tcW w:w="687" w:type="dxa"/>
            <w:tcBorders/>
            <w:shd w:fill="CFF0FC" w:val="clear"/>
            <w:vAlign w:val="bottom"/>
          </w:tcPr>
          <w:p>
            <w:pPr>
              <w:pStyle w:val="TableContents"/>
              <w:bidi w:val="0"/>
              <w:spacing w:before="0" w:after="283"/>
              <w:jc w:val="left"/>
              <w:rPr>
                <w:sz w:val="4"/>
                <w:szCs w:val="4"/>
              </w:rPr>
            </w:pPr>
            <w:r>
              <w:rPr>
                <w:sz w:val="4"/>
                <w:szCs w:val="4"/>
              </w:rPr>
            </w:r>
          </w:p>
        </w:tc>
        <w:tc>
          <w:tcPr>
            <w:tcW w:w="444"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Banyan Venture Holdings LLC(1)</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2,443,226</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5.42</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b/>
                <w:sz w:val="16"/>
              </w:rPr>
            </w:pPr>
            <w:r>
              <w:rPr>
                <w:rFonts w:ascii="Times New Roman" w:hAnsi="Times New Roman"/>
                <w:b/>
                <w:sz w:val="16"/>
              </w:rPr>
              <w:t>Named Executive Officers and Directors</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sz w:val="4"/>
                <w:szCs w:val="4"/>
              </w:rPr>
            </w:pPr>
            <w:r>
              <w:rPr>
                <w:sz w:val="4"/>
                <w:szCs w:val="4"/>
              </w:rPr>
            </w:r>
          </w:p>
        </w:tc>
        <w:tc>
          <w:tcPr>
            <w:tcW w:w="1103" w:type="dxa"/>
            <w:tcBorders/>
            <w:shd w:fill="CFF0FC" w:val="clear"/>
            <w:vAlign w:val="bottom"/>
          </w:tcPr>
          <w:p>
            <w:pPr>
              <w:pStyle w:val="TableContents"/>
              <w:bidi w:val="0"/>
              <w:spacing w:before="0" w:after="283"/>
              <w:jc w:val="left"/>
              <w:rPr>
                <w:sz w:val="4"/>
                <w:szCs w:val="4"/>
              </w:rPr>
            </w:pPr>
            <w:r>
              <w:rPr>
                <w:sz w:val="4"/>
                <w:szCs w:val="4"/>
              </w:rPr>
            </w:r>
          </w:p>
        </w:tc>
        <w:tc>
          <w:tcPr>
            <w:tcW w:w="66" w:type="dxa"/>
            <w:tcBorders/>
            <w:shd w:fill="CFF0FC" w:val="clear"/>
            <w:vAlign w:val="bottom"/>
          </w:tcPr>
          <w:p>
            <w:pPr>
              <w:pStyle w:val="TableContents"/>
              <w:bidi w:val="0"/>
              <w:spacing w:before="0" w:after="283"/>
              <w:jc w:val="left"/>
              <w:rPr>
                <w:sz w:val="4"/>
                <w:szCs w:val="4"/>
              </w:rPr>
            </w:pPr>
            <w:r>
              <w:rPr>
                <w:sz w:val="4"/>
                <w:szCs w:val="4"/>
              </w:rPr>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sz w:val="4"/>
                <w:szCs w:val="4"/>
              </w:rPr>
            </w:pPr>
            <w:r>
              <w:rPr>
                <w:sz w:val="4"/>
                <w:szCs w:val="4"/>
              </w:rPr>
            </w:r>
          </w:p>
        </w:tc>
        <w:tc>
          <w:tcPr>
            <w:tcW w:w="687" w:type="dxa"/>
            <w:tcBorders/>
            <w:shd w:fill="CFF0FC" w:val="clear"/>
            <w:vAlign w:val="bottom"/>
          </w:tcPr>
          <w:p>
            <w:pPr>
              <w:pStyle w:val="TableContents"/>
              <w:bidi w:val="0"/>
              <w:spacing w:before="0" w:after="283"/>
              <w:jc w:val="left"/>
              <w:rPr>
                <w:sz w:val="4"/>
                <w:szCs w:val="4"/>
              </w:rPr>
            </w:pPr>
            <w:r>
              <w:rPr>
                <w:sz w:val="4"/>
                <w:szCs w:val="4"/>
              </w:rPr>
            </w:r>
          </w:p>
        </w:tc>
        <w:tc>
          <w:tcPr>
            <w:tcW w:w="444" w:type="dxa"/>
            <w:tcBorders/>
            <w:shd w:fill="CFF0FC" w:val="clear"/>
            <w:vAlign w:val="bottom"/>
          </w:tcPr>
          <w:p>
            <w:pPr>
              <w:pStyle w:val="TableContents"/>
              <w:bidi w:val="0"/>
              <w:spacing w:before="0" w:after="283"/>
              <w:jc w:val="left"/>
              <w:rPr>
                <w:sz w:val="4"/>
                <w:szCs w:val="4"/>
              </w:rPr>
            </w:pPr>
            <w:r>
              <w:rPr>
                <w:sz w:val="4"/>
                <w:szCs w:val="4"/>
              </w:rPr>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Angus Pacala(2)</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1,500,146</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3.27</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Mark Weinswig(3)</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pPr>
            <w:r>
              <w:rPr/>
              <w:t> </w:t>
            </w:r>
          </w:p>
        </w:tc>
        <w:tc>
          <w:tcPr>
            <w:tcW w:w="1103" w:type="dxa"/>
            <w:tcBorders/>
            <w:shd w:fill="CFF0FC" w:val="clear"/>
            <w:vAlign w:val="bottom"/>
          </w:tcPr>
          <w:p>
            <w:pPr>
              <w:pStyle w:val="TableContents"/>
              <w:bidi w:val="0"/>
              <w:spacing w:before="0" w:after="283"/>
              <w:jc w:val="right"/>
              <w:rPr/>
            </w:pPr>
            <w:r>
              <w:rPr/>
              <w:t>159,801</w:t>
            </w:r>
          </w:p>
        </w:tc>
        <w:tc>
          <w:tcPr>
            <w:tcW w:w="66" w:type="dxa"/>
            <w:tcBorders/>
            <w:shd w:fill="CFF0FC" w:val="clear"/>
            <w:vAlign w:val="bottom"/>
          </w:tcPr>
          <w:p>
            <w:pPr>
              <w:pStyle w:val="TableContents"/>
              <w:bidi w:val="0"/>
              <w:spacing w:before="0" w:after="283"/>
              <w:jc w:val="left"/>
              <w:rPr/>
            </w:pPr>
            <w:r>
              <w:rPr/>
              <w:t> </w:t>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pPr>
            <w:r>
              <w:rPr/>
              <w:t> </w:t>
            </w:r>
          </w:p>
        </w:tc>
        <w:tc>
          <w:tcPr>
            <w:tcW w:w="687" w:type="dxa"/>
            <w:tcBorders/>
            <w:shd w:fill="CFF0FC" w:val="clear"/>
            <w:vAlign w:val="bottom"/>
          </w:tcPr>
          <w:p>
            <w:pPr>
              <w:pStyle w:val="TableContents"/>
              <w:bidi w:val="0"/>
              <w:spacing w:before="0" w:after="283"/>
              <w:jc w:val="right"/>
              <w:rPr/>
            </w:pPr>
            <w:r>
              <w:rPr/>
              <w:t>*</w:t>
            </w:r>
          </w:p>
        </w:tc>
        <w:tc>
          <w:tcPr>
            <w:tcW w:w="444" w:type="dxa"/>
            <w:tcBorders/>
            <w:shd w:fill="CFF0FC" w:val="clear"/>
            <w:vAlign w:val="bottom"/>
          </w:tcPr>
          <w:p>
            <w:pPr>
              <w:pStyle w:val="TableContents"/>
              <w:bidi w:val="0"/>
              <w:spacing w:before="0" w:after="283"/>
              <w:jc w:val="left"/>
              <w:rPr/>
            </w:pPr>
            <w:r>
              <w:rPr/>
              <w:t>% </w:t>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Darien Spencer(4)</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220,713</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Anna Brunelle(5)</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pPr>
            <w:r>
              <w:rPr/>
              <w:t> </w:t>
            </w:r>
          </w:p>
        </w:tc>
        <w:tc>
          <w:tcPr>
            <w:tcW w:w="1103" w:type="dxa"/>
            <w:tcBorders/>
            <w:shd w:fill="CFF0FC" w:val="clear"/>
            <w:vAlign w:val="bottom"/>
          </w:tcPr>
          <w:p>
            <w:pPr>
              <w:pStyle w:val="TableContents"/>
              <w:bidi w:val="0"/>
              <w:spacing w:before="0" w:after="283"/>
              <w:jc w:val="right"/>
              <w:rPr/>
            </w:pPr>
            <w:r>
              <w:rPr/>
              <w:t>200,956</w:t>
            </w:r>
          </w:p>
        </w:tc>
        <w:tc>
          <w:tcPr>
            <w:tcW w:w="66" w:type="dxa"/>
            <w:tcBorders/>
            <w:shd w:fill="CFF0FC" w:val="clear"/>
            <w:vAlign w:val="bottom"/>
          </w:tcPr>
          <w:p>
            <w:pPr>
              <w:pStyle w:val="TableContents"/>
              <w:bidi w:val="0"/>
              <w:spacing w:before="0" w:after="283"/>
              <w:jc w:val="left"/>
              <w:rPr/>
            </w:pPr>
            <w:r>
              <w:rPr/>
              <w:t> </w:t>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pPr>
            <w:r>
              <w:rPr/>
              <w:t> </w:t>
            </w:r>
          </w:p>
        </w:tc>
        <w:tc>
          <w:tcPr>
            <w:tcW w:w="687" w:type="dxa"/>
            <w:tcBorders/>
            <w:shd w:fill="CFF0FC" w:val="clear"/>
            <w:vAlign w:val="bottom"/>
          </w:tcPr>
          <w:p>
            <w:pPr>
              <w:pStyle w:val="TableContents"/>
              <w:bidi w:val="0"/>
              <w:spacing w:before="0" w:after="283"/>
              <w:jc w:val="right"/>
              <w:rPr/>
            </w:pPr>
            <w:r>
              <w:rPr/>
              <w:t>*</w:t>
            </w:r>
          </w:p>
        </w:tc>
        <w:tc>
          <w:tcPr>
            <w:tcW w:w="444" w:type="dxa"/>
            <w:tcBorders/>
            <w:shd w:fill="CFF0FC" w:val="clear"/>
            <w:vAlign w:val="bottom"/>
          </w:tcPr>
          <w:p>
            <w:pPr>
              <w:pStyle w:val="TableContents"/>
              <w:bidi w:val="0"/>
              <w:spacing w:before="0" w:after="283"/>
              <w:jc w:val="left"/>
              <w:rPr/>
            </w:pPr>
            <w:r>
              <w:rPr/>
              <w:t>% </w:t>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Adam Dolinko</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Virginia Boulet(6)</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pPr>
            <w:r>
              <w:rPr/>
              <w:t> </w:t>
            </w:r>
          </w:p>
        </w:tc>
        <w:tc>
          <w:tcPr>
            <w:tcW w:w="1103" w:type="dxa"/>
            <w:tcBorders/>
            <w:shd w:fill="CFF0FC" w:val="clear"/>
            <w:vAlign w:val="bottom"/>
          </w:tcPr>
          <w:p>
            <w:pPr>
              <w:pStyle w:val="TableContents"/>
              <w:bidi w:val="0"/>
              <w:spacing w:before="0" w:after="283"/>
              <w:jc w:val="right"/>
              <w:rPr/>
            </w:pPr>
            <w:r>
              <w:rPr/>
              <w:t>163,090</w:t>
            </w:r>
          </w:p>
        </w:tc>
        <w:tc>
          <w:tcPr>
            <w:tcW w:w="66" w:type="dxa"/>
            <w:tcBorders/>
            <w:shd w:fill="CFF0FC" w:val="clear"/>
            <w:vAlign w:val="bottom"/>
          </w:tcPr>
          <w:p>
            <w:pPr>
              <w:pStyle w:val="TableContents"/>
              <w:bidi w:val="0"/>
              <w:spacing w:before="0" w:after="283"/>
              <w:jc w:val="left"/>
              <w:rPr/>
            </w:pPr>
            <w:r>
              <w:rPr/>
              <w:t> </w:t>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pPr>
            <w:r>
              <w:rPr/>
              <w:t> </w:t>
            </w:r>
          </w:p>
        </w:tc>
        <w:tc>
          <w:tcPr>
            <w:tcW w:w="687" w:type="dxa"/>
            <w:tcBorders/>
            <w:shd w:fill="CFF0FC" w:val="clear"/>
            <w:vAlign w:val="bottom"/>
          </w:tcPr>
          <w:p>
            <w:pPr>
              <w:pStyle w:val="TableContents"/>
              <w:bidi w:val="0"/>
              <w:spacing w:before="0" w:after="283"/>
              <w:jc w:val="right"/>
              <w:rPr/>
            </w:pPr>
            <w:r>
              <w:rPr/>
              <w:t>*</w:t>
            </w:r>
          </w:p>
        </w:tc>
        <w:tc>
          <w:tcPr>
            <w:tcW w:w="444" w:type="dxa"/>
            <w:tcBorders/>
            <w:shd w:fill="CFF0FC" w:val="clear"/>
            <w:vAlign w:val="bottom"/>
          </w:tcPr>
          <w:p>
            <w:pPr>
              <w:pStyle w:val="TableContents"/>
              <w:bidi w:val="0"/>
              <w:spacing w:before="0" w:after="283"/>
              <w:jc w:val="left"/>
              <w:rPr/>
            </w:pPr>
            <w:r>
              <w:rPr/>
              <w:t>% </w:t>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Susan Heystee(7)</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99,309</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Ernest E. Maddock(8)</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pPr>
            <w:r>
              <w:rPr/>
              <w:t> </w:t>
            </w:r>
          </w:p>
        </w:tc>
        <w:tc>
          <w:tcPr>
            <w:tcW w:w="1103" w:type="dxa"/>
            <w:tcBorders/>
            <w:shd w:fill="CFF0FC" w:val="clear"/>
            <w:vAlign w:val="bottom"/>
          </w:tcPr>
          <w:p>
            <w:pPr>
              <w:pStyle w:val="TableContents"/>
              <w:bidi w:val="0"/>
              <w:spacing w:before="0" w:after="283"/>
              <w:jc w:val="right"/>
              <w:rPr/>
            </w:pPr>
            <w:r>
              <w:rPr/>
              <w:t>45,928</w:t>
            </w:r>
          </w:p>
        </w:tc>
        <w:tc>
          <w:tcPr>
            <w:tcW w:w="66" w:type="dxa"/>
            <w:tcBorders/>
            <w:shd w:fill="CFF0FC" w:val="clear"/>
            <w:vAlign w:val="bottom"/>
          </w:tcPr>
          <w:p>
            <w:pPr>
              <w:pStyle w:val="TableContents"/>
              <w:bidi w:val="0"/>
              <w:spacing w:before="0" w:after="283"/>
              <w:jc w:val="left"/>
              <w:rPr/>
            </w:pPr>
            <w:r>
              <w:rPr/>
              <w:t> </w:t>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pPr>
            <w:r>
              <w:rPr/>
              <w:t> </w:t>
            </w:r>
          </w:p>
        </w:tc>
        <w:tc>
          <w:tcPr>
            <w:tcW w:w="687" w:type="dxa"/>
            <w:tcBorders/>
            <w:shd w:fill="CFF0FC" w:val="clear"/>
            <w:vAlign w:val="bottom"/>
          </w:tcPr>
          <w:p>
            <w:pPr>
              <w:pStyle w:val="TableContents"/>
              <w:bidi w:val="0"/>
              <w:spacing w:before="0" w:after="283"/>
              <w:jc w:val="right"/>
              <w:rPr/>
            </w:pPr>
            <w:r>
              <w:rPr/>
              <w:t>*</w:t>
            </w:r>
          </w:p>
        </w:tc>
        <w:tc>
          <w:tcPr>
            <w:tcW w:w="444" w:type="dxa"/>
            <w:tcBorders/>
            <w:shd w:fill="CFF0FC" w:val="clear"/>
            <w:vAlign w:val="bottom"/>
          </w:tcPr>
          <w:p>
            <w:pPr>
              <w:pStyle w:val="TableContents"/>
              <w:bidi w:val="0"/>
              <w:spacing w:before="0" w:after="283"/>
              <w:jc w:val="left"/>
              <w:rPr/>
            </w:pPr>
            <w:r>
              <w:rPr/>
              <w:t>% </w:t>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Karin Rådström(9)</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42,291</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Kristin Slanina(10)</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pPr>
            <w:r>
              <w:rPr/>
              <w:t> </w:t>
            </w:r>
          </w:p>
        </w:tc>
        <w:tc>
          <w:tcPr>
            <w:tcW w:w="1103" w:type="dxa"/>
            <w:tcBorders/>
            <w:shd w:fill="CFF0FC" w:val="clear"/>
            <w:vAlign w:val="bottom"/>
          </w:tcPr>
          <w:p>
            <w:pPr>
              <w:pStyle w:val="TableContents"/>
              <w:bidi w:val="0"/>
              <w:spacing w:before="0" w:after="283"/>
              <w:jc w:val="right"/>
              <w:rPr/>
            </w:pPr>
            <w:r>
              <w:rPr/>
              <w:t>31,228</w:t>
            </w:r>
          </w:p>
        </w:tc>
        <w:tc>
          <w:tcPr>
            <w:tcW w:w="66" w:type="dxa"/>
            <w:tcBorders/>
            <w:shd w:fill="CFF0FC" w:val="clear"/>
            <w:vAlign w:val="bottom"/>
          </w:tcPr>
          <w:p>
            <w:pPr>
              <w:pStyle w:val="TableContents"/>
              <w:bidi w:val="0"/>
              <w:spacing w:before="0" w:after="283"/>
              <w:jc w:val="left"/>
              <w:rPr/>
            </w:pPr>
            <w:r>
              <w:rPr/>
              <w:t> </w:t>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pPr>
            <w:r>
              <w:rPr/>
              <w:t> </w:t>
            </w:r>
          </w:p>
        </w:tc>
        <w:tc>
          <w:tcPr>
            <w:tcW w:w="687" w:type="dxa"/>
            <w:tcBorders/>
            <w:shd w:fill="CFF0FC" w:val="clear"/>
            <w:vAlign w:val="bottom"/>
          </w:tcPr>
          <w:p>
            <w:pPr>
              <w:pStyle w:val="TableContents"/>
              <w:bidi w:val="0"/>
              <w:spacing w:before="0" w:after="283"/>
              <w:jc w:val="right"/>
              <w:rPr/>
            </w:pPr>
            <w:r>
              <w:rPr/>
              <w:t>*</w:t>
            </w:r>
          </w:p>
        </w:tc>
        <w:tc>
          <w:tcPr>
            <w:tcW w:w="444" w:type="dxa"/>
            <w:tcBorders/>
            <w:shd w:fill="CFF0FC" w:val="clear"/>
            <w:vAlign w:val="bottom"/>
          </w:tcPr>
          <w:p>
            <w:pPr>
              <w:pStyle w:val="TableContents"/>
              <w:bidi w:val="0"/>
              <w:spacing w:before="0" w:after="283"/>
              <w:jc w:val="left"/>
              <w:rPr/>
            </w:pPr>
            <w:r>
              <w:rPr/>
              <w:t>% </w:t>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tcPr>
          <w:p>
            <w:pPr>
              <w:pStyle w:val="TableContents"/>
              <w:bidi w:val="0"/>
              <w:spacing w:before="0" w:after="0"/>
              <w:jc w:val="left"/>
              <w:rPr>
                <w:rFonts w:ascii="Times New Roman" w:hAnsi="Times New Roman"/>
                <w:sz w:val="16"/>
              </w:rPr>
            </w:pPr>
            <w:r>
              <w:rPr>
                <w:rFonts w:ascii="Times New Roman" w:hAnsi="Times New Roman"/>
                <w:sz w:val="16"/>
              </w:rPr>
              <w:t>Theodore L. Tewksbury, Ph.D.(11)</w:t>
            </w:r>
          </w:p>
        </w:tc>
        <w:tc>
          <w:tcPr>
            <w:tcW w:w="6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98,301</w:t>
            </w:r>
          </w:p>
        </w:tc>
        <w:tc>
          <w:tcPr>
            <w:tcW w:w="6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444" w:type="dxa"/>
            <w:tcBorders/>
            <w:vAlign w:val="bottom"/>
          </w:tcPr>
          <w:p>
            <w:pPr>
              <w:pStyle w:val="TableContents"/>
              <w:bidi w:val="0"/>
              <w:spacing w:before="0" w:after="283"/>
              <w:jc w:val="left"/>
              <w:rPr/>
            </w:pPr>
            <w:r>
              <w:rPr/>
              <w:t>% </w:t>
            </w:r>
          </w:p>
        </w:tc>
      </w:tr>
      <w:tr>
        <w:trPr>
          <w:trHeight w:val="60" w:hRule="atLeast"/>
        </w:trPr>
        <w:tc>
          <w:tcPr>
            <w:tcW w:w="6641" w:type="dxa"/>
            <w:tcBorders/>
            <w:shd w:fill="CFF0FC" w:val="clear"/>
            <w:vAlign w:val="center"/>
          </w:tcPr>
          <w:p>
            <w:pPr>
              <w:pStyle w:val="TableContents"/>
              <w:bidi w:val="0"/>
              <w:spacing w:before="0" w:after="283"/>
              <w:jc w:val="left"/>
              <w:rPr>
                <w:sz w:val="4"/>
                <w:szCs w:val="4"/>
              </w:rPr>
            </w:pPr>
            <w:r>
              <w:rPr>
                <w:sz w:val="4"/>
                <w:szCs w:val="4"/>
              </w:rPr>
            </w:r>
          </w:p>
        </w:tc>
        <w:tc>
          <w:tcPr>
            <w:tcW w:w="1866" w:type="dxa"/>
            <w:gridSpan w:val="4"/>
            <w:tcBorders/>
            <w:shd w:fill="CFF0FC" w:val="clear"/>
            <w:vAlign w:val="center"/>
          </w:tcPr>
          <w:p>
            <w:pPr>
              <w:pStyle w:val="TableContents"/>
              <w:bidi w:val="0"/>
              <w:spacing w:before="0" w:after="283"/>
              <w:jc w:val="left"/>
              <w:rPr>
                <w:sz w:val="4"/>
                <w:szCs w:val="4"/>
              </w:rPr>
            </w:pPr>
            <w:r>
              <w:rPr>
                <w:sz w:val="4"/>
                <w:szCs w:val="4"/>
              </w:rPr>
            </w:r>
          </w:p>
        </w:tc>
        <w:tc>
          <w:tcPr>
            <w:tcW w:w="1698" w:type="dxa"/>
            <w:gridSpan w:val="4"/>
            <w:tcBorders/>
            <w:shd w:fill="CFF0FC" w:val="clear"/>
            <w:vAlign w:val="center"/>
          </w:tcPr>
          <w:p>
            <w:pPr>
              <w:pStyle w:val="TableContents"/>
              <w:bidi w:val="0"/>
              <w:spacing w:before="0" w:after="283"/>
              <w:jc w:val="left"/>
              <w:rPr>
                <w:sz w:val="4"/>
                <w:szCs w:val="4"/>
              </w:rPr>
            </w:pPr>
            <w:r>
              <w:rPr>
                <w:sz w:val="4"/>
                <w:szCs w:val="4"/>
              </w:rPr>
            </w:r>
          </w:p>
        </w:tc>
      </w:tr>
      <w:tr>
        <w:trPr/>
        <w:tc>
          <w:tcPr>
            <w:tcW w:w="6641" w:type="dxa"/>
            <w:tcBorders/>
            <w:shd w:fill="CFF0FC" w:val="clear"/>
          </w:tcPr>
          <w:p>
            <w:pPr>
              <w:pStyle w:val="TableContents"/>
              <w:bidi w:val="0"/>
              <w:spacing w:before="0" w:after="0"/>
              <w:jc w:val="left"/>
              <w:rPr>
                <w:rFonts w:ascii="Times New Roman" w:hAnsi="Times New Roman"/>
                <w:sz w:val="16"/>
              </w:rPr>
            </w:pPr>
            <w:r>
              <w:rPr>
                <w:rFonts w:ascii="Times New Roman" w:hAnsi="Times New Roman"/>
                <w:sz w:val="16"/>
              </w:rPr>
              <w:t>Riaz Valani(12)</w:t>
            </w:r>
          </w:p>
        </w:tc>
        <w:tc>
          <w:tcPr>
            <w:tcW w:w="633" w:type="dxa"/>
            <w:tcBorders/>
            <w:shd w:fill="CFF0FC" w:val="clear"/>
            <w:vAlign w:val="bottom"/>
          </w:tcPr>
          <w:p>
            <w:pPr>
              <w:pStyle w:val="TableContents"/>
              <w:bidi w:val="0"/>
              <w:spacing w:before="0" w:after="283"/>
              <w:jc w:val="left"/>
              <w:rPr/>
            </w:pPr>
            <w:r>
              <w:rPr/>
              <w:t>  </w:t>
            </w:r>
          </w:p>
        </w:tc>
        <w:tc>
          <w:tcPr>
            <w:tcW w:w="64" w:type="dxa"/>
            <w:tcBorders/>
            <w:shd w:fill="CFF0FC" w:val="clear"/>
            <w:vAlign w:val="bottom"/>
          </w:tcPr>
          <w:p>
            <w:pPr>
              <w:pStyle w:val="TableContents"/>
              <w:bidi w:val="0"/>
              <w:spacing w:before="0" w:after="283"/>
              <w:jc w:val="left"/>
              <w:rPr/>
            </w:pPr>
            <w:r>
              <w:rPr/>
              <w:t> </w:t>
            </w:r>
          </w:p>
        </w:tc>
        <w:tc>
          <w:tcPr>
            <w:tcW w:w="1103" w:type="dxa"/>
            <w:tcBorders/>
            <w:shd w:fill="CFF0FC" w:val="clear"/>
            <w:vAlign w:val="bottom"/>
          </w:tcPr>
          <w:p>
            <w:pPr>
              <w:pStyle w:val="TableContents"/>
              <w:bidi w:val="0"/>
              <w:spacing w:before="0" w:after="283"/>
              <w:jc w:val="right"/>
              <w:rPr/>
            </w:pPr>
            <w:r>
              <w:rPr/>
              <w:t>97,589</w:t>
            </w:r>
          </w:p>
        </w:tc>
        <w:tc>
          <w:tcPr>
            <w:tcW w:w="66" w:type="dxa"/>
            <w:tcBorders/>
            <w:shd w:fill="CFF0FC" w:val="clear"/>
            <w:vAlign w:val="bottom"/>
          </w:tcPr>
          <w:p>
            <w:pPr>
              <w:pStyle w:val="TableContents"/>
              <w:bidi w:val="0"/>
              <w:spacing w:before="0" w:after="283"/>
              <w:jc w:val="left"/>
              <w:rPr/>
            </w:pPr>
            <w:r>
              <w:rPr/>
              <w:t> </w:t>
            </w:r>
          </w:p>
        </w:tc>
        <w:tc>
          <w:tcPr>
            <w:tcW w:w="475" w:type="dxa"/>
            <w:tcBorders/>
            <w:shd w:fill="CFF0FC" w:val="clear"/>
            <w:vAlign w:val="bottom"/>
          </w:tcPr>
          <w:p>
            <w:pPr>
              <w:pStyle w:val="TableContents"/>
              <w:bidi w:val="0"/>
              <w:spacing w:before="0" w:after="283"/>
              <w:jc w:val="left"/>
              <w:rPr/>
            </w:pPr>
            <w:r>
              <w:rPr/>
              <w:t>  </w:t>
            </w:r>
          </w:p>
        </w:tc>
        <w:tc>
          <w:tcPr>
            <w:tcW w:w="92" w:type="dxa"/>
            <w:tcBorders/>
            <w:shd w:fill="CFF0FC" w:val="clear"/>
            <w:vAlign w:val="bottom"/>
          </w:tcPr>
          <w:p>
            <w:pPr>
              <w:pStyle w:val="TableContents"/>
              <w:bidi w:val="0"/>
              <w:spacing w:before="0" w:after="283"/>
              <w:jc w:val="left"/>
              <w:rPr/>
            </w:pPr>
            <w:r>
              <w:rPr/>
              <w:t> </w:t>
            </w:r>
          </w:p>
        </w:tc>
        <w:tc>
          <w:tcPr>
            <w:tcW w:w="687" w:type="dxa"/>
            <w:tcBorders/>
            <w:shd w:fill="CFF0FC" w:val="clear"/>
            <w:vAlign w:val="bottom"/>
          </w:tcPr>
          <w:p>
            <w:pPr>
              <w:pStyle w:val="TableContents"/>
              <w:bidi w:val="0"/>
              <w:spacing w:before="0" w:after="283"/>
              <w:jc w:val="right"/>
              <w:rPr/>
            </w:pPr>
            <w:r>
              <w:rPr/>
              <w:t>*</w:t>
            </w:r>
          </w:p>
        </w:tc>
        <w:tc>
          <w:tcPr>
            <w:tcW w:w="444" w:type="dxa"/>
            <w:tcBorders/>
            <w:shd w:fill="CFF0FC" w:val="clear"/>
            <w:vAlign w:val="bottom"/>
          </w:tcPr>
          <w:p>
            <w:pPr>
              <w:pStyle w:val="TableContents"/>
              <w:bidi w:val="0"/>
              <w:spacing w:before="0" w:after="283"/>
              <w:jc w:val="left"/>
              <w:rPr/>
            </w:pPr>
            <w:r>
              <w:rPr/>
              <w:t>% </w:t>
            </w:r>
          </w:p>
        </w:tc>
      </w:tr>
      <w:tr>
        <w:trPr>
          <w:trHeight w:val="60" w:hRule="atLeast"/>
        </w:trPr>
        <w:tc>
          <w:tcPr>
            <w:tcW w:w="6641" w:type="dxa"/>
            <w:tcBorders/>
            <w:vAlign w:val="center"/>
          </w:tcPr>
          <w:p>
            <w:pPr>
              <w:pStyle w:val="TableContents"/>
              <w:bidi w:val="0"/>
              <w:spacing w:before="0" w:after="283"/>
              <w:jc w:val="left"/>
              <w:rPr>
                <w:sz w:val="4"/>
                <w:szCs w:val="4"/>
              </w:rPr>
            </w:pPr>
            <w:r>
              <w:rPr>
                <w:sz w:val="4"/>
                <w:szCs w:val="4"/>
              </w:rPr>
            </w:r>
          </w:p>
        </w:tc>
        <w:tc>
          <w:tcPr>
            <w:tcW w:w="1866" w:type="dxa"/>
            <w:gridSpan w:val="4"/>
            <w:tcBorders/>
            <w:vAlign w:val="center"/>
          </w:tcPr>
          <w:p>
            <w:pPr>
              <w:pStyle w:val="TableContents"/>
              <w:bidi w:val="0"/>
              <w:spacing w:before="0" w:after="283"/>
              <w:jc w:val="left"/>
              <w:rPr>
                <w:sz w:val="4"/>
                <w:szCs w:val="4"/>
              </w:rPr>
            </w:pPr>
            <w:r>
              <w:rPr>
                <w:sz w:val="4"/>
                <w:szCs w:val="4"/>
              </w:rPr>
            </w:r>
          </w:p>
        </w:tc>
        <w:tc>
          <w:tcPr>
            <w:tcW w:w="1698" w:type="dxa"/>
            <w:gridSpan w:val="4"/>
            <w:tcBorders/>
            <w:vAlign w:val="center"/>
          </w:tcPr>
          <w:p>
            <w:pPr>
              <w:pStyle w:val="TableContents"/>
              <w:bidi w:val="0"/>
              <w:spacing w:before="0" w:after="283"/>
              <w:jc w:val="left"/>
              <w:rPr>
                <w:sz w:val="4"/>
                <w:szCs w:val="4"/>
              </w:rPr>
            </w:pPr>
            <w:r>
              <w:rPr>
                <w:sz w:val="4"/>
                <w:szCs w:val="4"/>
              </w:rPr>
            </w:r>
          </w:p>
        </w:tc>
      </w:tr>
      <w:tr>
        <w:trPr/>
        <w:tc>
          <w:tcPr>
            <w:tcW w:w="6641" w:type="dxa"/>
            <w:tcBorders>
              <w:bottom w:val="single" w:sz="2" w:space="0" w:color="000000"/>
            </w:tcBorders>
            <w:tcMar>
              <w:bottom w:w="60" w:type="dxa"/>
            </w:tcMar>
          </w:tcPr>
          <w:p>
            <w:pPr>
              <w:pStyle w:val="TableContents"/>
              <w:bidi w:val="0"/>
              <w:spacing w:before="0" w:after="0"/>
              <w:jc w:val="left"/>
              <w:rPr>
                <w:rFonts w:ascii="Times New Roman" w:hAnsi="Times New Roman"/>
                <w:sz w:val="16"/>
              </w:rPr>
            </w:pPr>
            <w:r>
              <w:rPr>
                <w:rFonts w:ascii="Times New Roman" w:hAnsi="Times New Roman"/>
                <w:sz w:val="16"/>
              </w:rPr>
              <w:t>All current executive officers and directors as a group (12 individuals)(13)</w:t>
            </w:r>
          </w:p>
        </w:tc>
        <w:tc>
          <w:tcPr>
            <w:tcW w:w="633" w:type="dxa"/>
            <w:tcBorders>
              <w:bottom w:val="single" w:sz="2" w:space="0" w:color="000000"/>
            </w:tcBorders>
            <w:tcMar>
              <w:bottom w:w="28" w:type="dxa"/>
            </w:tcMar>
            <w:vAlign w:val="bottom"/>
          </w:tcPr>
          <w:p>
            <w:pPr>
              <w:pStyle w:val="TableContents"/>
              <w:bidi w:val="0"/>
              <w:spacing w:before="0" w:after="283"/>
              <w:jc w:val="left"/>
              <w:rPr/>
            </w:pPr>
            <w:r>
              <w:rPr/>
              <w:t>  </w:t>
            </w:r>
          </w:p>
        </w:tc>
        <w:tc>
          <w:tcPr>
            <w:tcW w:w="64" w:type="dxa"/>
            <w:tcBorders>
              <w:bottom w:val="single" w:sz="2" w:space="0" w:color="000000"/>
            </w:tcBorders>
            <w:tcMar>
              <w:bottom w:w="60" w:type="dxa"/>
            </w:tcMar>
            <w:vAlign w:val="bottom"/>
          </w:tcPr>
          <w:p>
            <w:pPr>
              <w:pStyle w:val="TableContents"/>
              <w:bidi w:val="0"/>
              <w:spacing w:before="0" w:after="283"/>
              <w:jc w:val="left"/>
              <w:rPr/>
            </w:pPr>
            <w:r>
              <w:rPr/>
              <w:t> </w:t>
            </w:r>
          </w:p>
        </w:tc>
        <w:tc>
          <w:tcPr>
            <w:tcW w:w="1103" w:type="dxa"/>
            <w:tcBorders>
              <w:bottom w:val="single" w:sz="2" w:space="0" w:color="000000"/>
            </w:tcBorders>
            <w:tcMar>
              <w:bottom w:w="60" w:type="dxa"/>
            </w:tcMar>
            <w:vAlign w:val="bottom"/>
          </w:tcPr>
          <w:p>
            <w:pPr>
              <w:pStyle w:val="TableContents"/>
              <w:bidi w:val="0"/>
              <w:spacing w:before="0" w:after="283"/>
              <w:jc w:val="right"/>
              <w:rPr/>
            </w:pPr>
            <w:r>
              <w:rPr/>
              <w:t>3,631,585</w:t>
            </w:r>
          </w:p>
        </w:tc>
        <w:tc>
          <w:tcPr>
            <w:tcW w:w="66" w:type="dxa"/>
            <w:tcBorders>
              <w:bottom w:val="single" w:sz="2" w:space="0" w:color="000000"/>
            </w:tcBorders>
            <w:tcMar>
              <w:bottom w:w="60" w:type="dxa"/>
            </w:tcMar>
            <w:vAlign w:val="bottom"/>
          </w:tcPr>
          <w:p>
            <w:pPr>
              <w:pStyle w:val="TableContents"/>
              <w:bidi w:val="0"/>
              <w:spacing w:before="0" w:after="283"/>
              <w:jc w:val="left"/>
              <w:rPr/>
            </w:pPr>
            <w:r>
              <w:rPr/>
              <w:t> </w:t>
            </w:r>
          </w:p>
        </w:tc>
        <w:tc>
          <w:tcPr>
            <w:tcW w:w="475" w:type="dxa"/>
            <w:tcBorders>
              <w:bottom w:val="single" w:sz="2" w:space="0" w:color="000000"/>
            </w:tcBorders>
            <w:tcMar>
              <w:bottom w:w="28" w:type="dxa"/>
            </w:tcMar>
            <w:vAlign w:val="bottom"/>
          </w:tcPr>
          <w:p>
            <w:pPr>
              <w:pStyle w:val="TableContents"/>
              <w:bidi w:val="0"/>
              <w:spacing w:before="0" w:after="283"/>
              <w:jc w:val="left"/>
              <w:rPr/>
            </w:pPr>
            <w:r>
              <w:rPr/>
              <w:t>  </w:t>
            </w:r>
          </w:p>
        </w:tc>
        <w:tc>
          <w:tcPr>
            <w:tcW w:w="92" w:type="dxa"/>
            <w:tcBorders>
              <w:bottom w:val="single" w:sz="2" w:space="0" w:color="000000"/>
            </w:tcBorders>
            <w:tcMar>
              <w:bottom w:w="60" w:type="dxa"/>
            </w:tcMar>
            <w:vAlign w:val="bottom"/>
          </w:tcPr>
          <w:p>
            <w:pPr>
              <w:pStyle w:val="TableContents"/>
              <w:bidi w:val="0"/>
              <w:spacing w:before="0" w:after="283"/>
              <w:jc w:val="left"/>
              <w:rPr/>
            </w:pPr>
            <w:r>
              <w:rPr/>
              <w:t> </w:t>
            </w:r>
          </w:p>
        </w:tc>
        <w:tc>
          <w:tcPr>
            <w:tcW w:w="687" w:type="dxa"/>
            <w:tcBorders>
              <w:bottom w:val="single" w:sz="2" w:space="0" w:color="000000"/>
            </w:tcBorders>
            <w:tcMar>
              <w:bottom w:w="60" w:type="dxa"/>
            </w:tcMar>
            <w:vAlign w:val="bottom"/>
          </w:tcPr>
          <w:p>
            <w:pPr>
              <w:pStyle w:val="TableContents"/>
              <w:bidi w:val="0"/>
              <w:spacing w:before="0" w:after="283"/>
              <w:jc w:val="right"/>
              <w:rPr/>
            </w:pPr>
            <w:r>
              <w:rPr/>
              <w:t>7.81</w:t>
            </w:r>
          </w:p>
        </w:tc>
        <w:tc>
          <w:tcPr>
            <w:tcW w:w="444" w:type="dxa"/>
            <w:tcBorders>
              <w:bottom w:val="single" w:sz="2" w:space="0" w:color="000000"/>
            </w:tcBorders>
            <w:tcMar>
              <w:bottom w:w="6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Less than one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Based on a Schedule 13G/A filed with the SEC on August 17, 2023. Consists of 2,443,226 shares over which Banyan Venture Holdings LLC has shared voting and dispositive power. Krishna Kantheti is the manager of Banyan Venture Holdings LLC. As a result, Mr. Kantheti may be deemed to beneficially own the shares held by Banyan Venture Holdings LLC. The address for Banyan Venture Holdings LLC and Mr. Kantheti is c/o Banyan Venture Holdings LLC, 215 NW 24th Street, Suite 501, Miami, Florida 33127.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700,859 shares of common stock and 799,287 shares of common stock issuable upon exercise of options exercisable as of or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152,801 shares of common stock and 7,000 shares of common stock issuable upon vesting of restricted stock units within 60 days of April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210,127 shares of common stock and 10,586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200,956 shares of common stock as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159,365 shares of common stock and 3,725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95,584 shares of common stock held directly by Susan Heystee and 3,725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42,203 shares of common stock and 3,725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38,566 shares of common stock and 3,725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27,503 shares of common stock and 3,725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94,576 shares of common stock and 3,725 shares of common stock issuable upon vesting of restricted stock units within 60 days of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97,589 shares of common stock indirectly held by Riaz Valani as the sole manager of GAC Acquisition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2,204,963 shares of common stock; 1,379,414 shares of common stock issuable upon exercise of options exercisable as of or within 60 days of April 15, 2024 and 47,208 shares of common stock issuable upon vesting of restricted stock units as of or within 60 days of April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5" w:name="toc800696_34"/>
      <w:bookmarkEnd w:id="35"/>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sz w:val="20"/>
        </w:rPr>
      </w:pPr>
      <w:bookmarkStart w:id="36" w:name="toc800696_35"/>
      <w:bookmarkEnd w:id="36"/>
      <w:r>
        <w:rPr>
          <w:rFonts w:ascii="Times New Roman" w:hAnsi="Times New Roman"/>
          <w:b/>
          <w:sz w:val="20"/>
        </w:rPr>
        <w:t xml:space="preserve">POLICIES AND PROCEDURES FOR RELATED PERSON TRANSACTIONS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has adopted a written Related Person Transaction Policy and Procedures, setting forth the policies and procedures for the review and approval or ratification of related person transactions. 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person who is, or at any time during the applicable period was, one of our executive officers, directors or nominees to become a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person who is known to be the beneficial owner of more than 5% of any class our voting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immediate family member of any of the foregoing persons, which means any child, stepchild, parent, stepparent, spouse, sibling, mother-in-law, father-in-law, son-in-law, daughter-in-law, brother-in-law or sister-in-law of a director, executive officer, nominee or beneficial owner of more than 5% of our voting stock, and any person (other than a tenant or employee) sharing the household of such director, executive officer, nominee or beneficial owner of more than 5% of our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firm, corporation or other entity in which any of the foregoing persons is employed or is a general partner or principal or in a similar position or in which such person has a 5% or greater beneficial ownership interest in any class of our voting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our Audit Committee charter, the Audit Committee has the responsibility to review related person transactions. </w:t>
      </w:r>
    </w:p>
    <w:p>
      <w:pPr>
        <w:pStyle w:val="TextBody"/>
        <w:bidi w:val="0"/>
        <w:spacing w:before="360" w:after="0"/>
        <w:jc w:val="left"/>
        <w:rPr>
          <w:rFonts w:ascii="Times New Roman" w:hAnsi="Times New Roman"/>
          <w:b/>
          <w:sz w:val="20"/>
        </w:rPr>
      </w:pPr>
      <w:bookmarkStart w:id="37" w:name="toc800696_36"/>
      <w:bookmarkEnd w:id="37"/>
      <w:r>
        <w:rPr>
          <w:rFonts w:ascii="Times New Roman" w:hAnsi="Times New Roman"/>
          <w:b/>
          <w:sz w:val="20"/>
        </w:rPr>
        <w:t xml:space="preserve">TRANSACTIONS RELATED TO DIRECTORS, EQUITY HOLDERS AND EXECUTIVE OFFICERS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Other than our compensation arrangements with directors and executive officers described elsewhere in this proxy statement, the following are certain transactions since January 1, 2022 and currently proposed transactions, to which we were a participant or will be a participant, in which: (1) the amount involved exceeded or will exceed $120,000, and (2) any of our directors, executive officers or holders of more than 5% of our common stock, or any member of the immediate family of the foregoing persons or entities, had or will have a direct or indirect material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On March 11, 2021, Ouster, Colonnade Sponsor LLC (the Sponsor), Colonnade WPB LLC (the Sponsor PIPE Purchaser), certain members of the Sponsor and the Sponsor PIPE Purchaser and certain former stockholders of our subsidiary, Ouster Technologies, Inc. entered into the Amended and Restated Registration Rights Agreement (the Registration Rights Agreement). Such parties have registration rights to require the Company to register a sale of any of our securities held by them pursuant to a registration rights agreement. The holders of these securities are entitled to make up to three demands, excluding short form demands, that the Company register such securities. In addition, the holders have certain piggy-back registration rights with respect to future registration statements.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indemnification agreements with each of our directors and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40"/>
        <w:jc w:val="left"/>
        <w:rPr/>
      </w:pPr>
      <w:r>
        <w:rPr/>
        <w:t> </w:t>
      </w:r>
    </w:p>
    <w:p>
      <w:pPr>
        <w:pStyle w:val="TextBody"/>
        <w:bidi w:val="0"/>
        <w:spacing w:before="240" w:after="0"/>
        <w:jc w:val="left"/>
        <w:rPr>
          <w:rFonts w:ascii="Times New Roman" w:hAnsi="Times New Roman"/>
          <w:b/>
          <w:sz w:val="20"/>
        </w:rPr>
      </w:pPr>
      <w:bookmarkStart w:id="38" w:name="toc800696_37"/>
      <w:bookmarkEnd w:id="38"/>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39" w:name="toc800696_38"/>
      <w:bookmarkEnd w:id="39"/>
      <w:r>
        <w:rPr>
          <w:rFonts w:ascii="Times New Roman" w:hAnsi="Times New Roman"/>
          <w:b/>
          <w:sz w:val="20"/>
        </w:rPr>
        <w:t>DELINQUENT SECTION 16(a) REPORTS</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2023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2023 other than three late Form 4s each reporting one late transaction for Karin Radstrom; three late Form 4s each reporting one late transaction for Susan Heystee; and one late Form 4 reporting one late transaction for Megan Chung. </w:t>
      </w:r>
    </w:p>
    <w:p>
      <w:pPr>
        <w:pStyle w:val="TextBody"/>
        <w:bidi w:val="0"/>
        <w:spacing w:before="360" w:after="0"/>
        <w:jc w:val="left"/>
        <w:rPr>
          <w:rFonts w:ascii="Times New Roman" w:hAnsi="Times New Roman"/>
          <w:b/>
          <w:sz w:val="20"/>
        </w:rPr>
      </w:pPr>
      <w:bookmarkStart w:id="40" w:name="toc800696_39"/>
      <w:bookmarkEnd w:id="40"/>
      <w:r>
        <w:rPr>
          <w:rFonts w:ascii="Times New Roman" w:hAnsi="Times New Roman"/>
          <w:b/>
          <w:sz w:val="20"/>
        </w:rPr>
        <w:t xml:space="preserve">COMPENSATION COMMITTEE INTERLOCKS AND INSIDER PARTICIPATION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During the year ended December 31, 2023, Susan Heystee, Ernest E. Maddock and Kristin Slanina served on the Compensation Committee of the Board. No member of our Compensation Committee is an officer or employee of the Company. During the year ended December 31, 2021, Susan Heystee served as Interim Chief Revenue Officer of the Company. Ms. Heystee did not serve on the Compensation Committee during the period that she served as Interim Chief Revenue Officer.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2023, none of our executive officers served as a member of the board of directors or compensation committee, or other committee serving an equivalent function, of any other entity that has one or more of its executive officers serving as a member of our Board or Compensation Committee. </w:t>
      </w:r>
    </w:p>
    <w:p>
      <w:pPr>
        <w:pStyle w:val="TextBody"/>
        <w:bidi w:val="0"/>
        <w:spacing w:before="360" w:after="0"/>
        <w:jc w:val="left"/>
        <w:rPr>
          <w:rFonts w:ascii="Times New Roman" w:hAnsi="Times New Roman"/>
          <w:b/>
          <w:sz w:val="20"/>
        </w:rPr>
      </w:pPr>
      <w:bookmarkStart w:id="41" w:name="toc800696_40"/>
      <w:bookmarkEnd w:id="41"/>
      <w:r>
        <w:rPr>
          <w:rFonts w:ascii="Times New Roman" w:hAnsi="Times New Roman"/>
          <w:b/>
          <w:sz w:val="20"/>
        </w:rPr>
        <w:t xml:space="preserve">STOCKHOLDERS PROPOSALS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Stockholders who intend to have a proposal considered for inclusion in our proxy materials for presentation at our 2025 annual meeting of stockholders pursuant to Rule 14a-8 under the Exchange Act must submit the proposal to our offices at 350 Treat Avenue, San Francisco, California 94110 in writing not later than December 26, 2024 (which is 120 days prior to April 25, 2025, the one-year anniversary of the mailing of the Companys 2024 definitive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Stockholders intending to present a proposal at the 2025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120th day and not later than the 90th day prior to the first anniversary of the preceding years annual meeting. Therefore, we must receive notice of such a proposal or nomination for the 2025 annual meeting of stockholders no earlier than February 21, 2025 and no later than March 23, 2025. The notice must contain the information required by the Bylaws, a copy of which is available upon request to our Secretary. In the event that the date of the 2025 annual meeting of stockholders is more than 30 days before or more than 60 days after June 21, 2025, then our Secretary must receive such written notice not later than the 90th day prior to the 2025 annual meeting of stockholders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reserve the right to reject, rule out of order, or take other appropriate action with respect to any proposal that does not comply with these or other applicable requirements. </w:t>
      </w:r>
    </w:p>
    <w:p>
      <w:pPr>
        <w:pStyle w:val="TextBody"/>
        <w:bidi w:val="0"/>
        <w:spacing w:before="360" w:after="0"/>
        <w:jc w:val="left"/>
        <w:rPr>
          <w:rFonts w:ascii="Times New Roman" w:hAnsi="Times New Roman"/>
          <w:b/>
          <w:sz w:val="20"/>
        </w:rPr>
      </w:pPr>
      <w:bookmarkStart w:id="42" w:name="toc800696_41"/>
      <w:bookmarkEnd w:id="42"/>
      <w:r>
        <w:rPr>
          <w:rFonts w:ascii="Times New Roman" w:hAnsi="Times New Roman"/>
          <w:b/>
          <w:sz w:val="20"/>
        </w:rPr>
        <w:t xml:space="preserve">OTHER MATTERS AT THE ANNUAL MEETING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 </w:t>
      </w:r>
    </w:p>
    <w:p>
      <w:pPr>
        <w:pStyle w:val="TextBody"/>
        <w:bidi w:val="0"/>
        <w:spacing w:before="360" w:after="0"/>
        <w:jc w:val="left"/>
        <w:rPr>
          <w:rFonts w:ascii="Times New Roman" w:hAnsi="Times New Roman"/>
          <w:b/>
          <w:sz w:val="20"/>
        </w:rPr>
      </w:pPr>
      <w:bookmarkStart w:id="43" w:name="toc800696_42"/>
      <w:bookmarkEnd w:id="43"/>
      <w:r>
        <w:rPr>
          <w:rFonts w:ascii="Times New Roman" w:hAnsi="Times New Roman"/>
          <w:b/>
          <w:sz w:val="20"/>
        </w:rPr>
        <w:t xml:space="preserve">SOLICITATION OF PROXIES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proxy is solicited by and on behalf of our Board, whose Notice of Annual Meeting is attached to this proxy statement, and the entire cost of our solicitation will be borne by us. We have retained Mackenzie Partners, Inc. to assist in the distribution of proxy materials and the solicitation of proxies from brokerage firms, fiduciaries, custodians and other similar organizations representing beneficial owners of shares for the Annual Meeting. We have agreed to pay Mackenzie Partners, Inc. a fee of approximately $10,000 plus out-of-pocket expenses. You may contact Mackenzie Partners, Inc. at 800-322-2885.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240" w:after="0"/>
        <w:jc w:val="both"/>
        <w:rPr>
          <w:rFonts w:ascii="Times New Roman" w:hAnsi="Times New Roman"/>
          <w:sz w:val="20"/>
        </w:rPr>
      </w:pPr>
      <w:r>
        <w:rPr>
          <w:rFonts w:ascii="Times New Roman" w:hAnsi="Times New Roman"/>
          <w:sz w:val="20"/>
        </w:rPr>
        <w:t xml:space="preserve">Stockholders may obtain our proxy statement (and any amendments and supplements thereto) and other documents as and when filed by us with the SEC without charge from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4" w:name="toc800696_43"/>
      <w:bookmarkEnd w:id="44"/>
      <w:r>
        <w:rPr>
          <w:rFonts w:ascii="Times New Roman" w:hAnsi="Times New Roman"/>
          <w:b/>
          <w:sz w:val="20"/>
        </w:rPr>
        <w:t xml:space="preserve">OUSTERS ANNUAL REPORT ON FORM 10-K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left"/>
        <w:rPr>
          <w:rFonts w:ascii="Times New Roman" w:hAnsi="Times New Roman"/>
          <w:sz w:val="20"/>
        </w:rPr>
      </w:pPr>
      <w:r>
        <w:rPr>
          <w:rFonts w:ascii="Times New Roman" w:hAnsi="Times New Roman"/>
          <w:b/>
          <w:sz w:val="20"/>
        </w:rPr>
        <w:t xml:space="preserve">A copy of Ousters Annual Report on Form 10-K for the fiscal year ended December 31, 2023, including financial statements and schedules, but not including exhibits, as filed with the SEC, will be sent to any stockholder of record on April 23, 2024 without charge upon written request addressed to Ouster, Inc., Attention: Secretary, 350 Treat Avenue, San Francisco, California 94110. A reasonable fee will be charged to the stockholder for copies of the aforementioned exhibits. You also may access our Annual Report on Form 10-K for the fiscal year ended December 31, 2023 at </w:t>
      </w:r>
      <w:r>
        <w:rPr>
          <w:rFonts w:ascii="Times New Roman" w:hAnsi="Times New Roman"/>
          <w:b/>
          <w:i/>
          <w:sz w:val="20"/>
        </w:rPr>
        <w:t>www.ouster.com</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bidi w:val="0"/>
        <w:spacing w:before="240" w:after="0"/>
        <w:jc w:val="both"/>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050290" cy="4203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50290" cy="4203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Megan Chung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25,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u w:val="single"/>
        </w:rPr>
      </w:pPr>
      <w:bookmarkStart w:id="45" w:name="toc800696_44"/>
      <w:bookmarkEnd w:id="45"/>
      <w:r>
        <w:rPr>
          <w:rFonts w:ascii="Times New Roman" w:hAnsi="Times New Roman"/>
          <w:b/>
          <w:sz w:val="20"/>
          <w:u w:val="single"/>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OUSTER,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2022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both"/>
        <w:rPr>
          <w:rFonts w:ascii="Times New Roman" w:hAnsi="Times New Roman"/>
          <w:sz w:val="20"/>
        </w:rPr>
      </w:pPr>
      <w:r>
        <w:rPr>
          <w:rFonts w:ascii="Times New Roman" w:hAnsi="Times New Roman"/>
          <w:sz w:val="20"/>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 This Plan constitutes an amendment and restatement of the Ouster, Inc. 2022 Employee Stock Purchase Plan (the </w:t>
      </w:r>
      <w:r>
        <w:rPr>
          <w:rFonts w:ascii="Times New Roman" w:hAnsi="Times New Roman"/>
          <w:b/>
          <w:i/>
          <w:sz w:val="20"/>
        </w:rPr>
        <w:t>Prior Plan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Eligible Consultants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Plan, the Administrator may designate separate Offerings under the Plan, the terms of which need not be identical, in which Eligible Employees and Eligible Consultants will participate, even if the dates of the applicable Offering Period(s) in each such Offering is identical, provided that the terms of participation are the same within each separate Offering under the Section 423 Component as determined under Section 423 of the Code, </w:t>
      </w:r>
      <w:r>
        <w:rPr>
          <w:rFonts w:ascii="Times New Roman" w:hAnsi="Times New Roman"/>
          <w:i/>
          <w:sz w:val="20"/>
        </w:rPr>
        <w:t>provided</w:t>
      </w:r>
      <w:r>
        <w:rPr>
          <w:rFonts w:ascii="Times New Roman" w:hAnsi="Times New Roman"/>
          <w:sz w:val="20"/>
        </w:rPr>
        <w:t xml:space="preserve">, that no Eligible Consultants shall be permitted to participate in any Offering under the Section 423 Component. Solely by way of example and without limiting the foregoing, the Company could, but shall not be required to, provide for simultaneous Offerings under the Section 423 Component and the Non-Section 423 Component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both"/>
        <w:rPr>
          <w:rFonts w:ascii="Times New Roman" w:hAnsi="Times New Roman"/>
          <w:sz w:val="20"/>
        </w:rPr>
      </w:pPr>
      <w:r>
        <w:rPr>
          <w:rFonts w:ascii="Times New Roman" w:hAnsi="Times New Roman"/>
          <w:sz w:val="20"/>
        </w:rPr>
        <w:t xml:space="preserve">As used in the Plan, the following words and phrases have the meanings specified below, unless the context clearly indicates otherwise: </w:t>
      </w:r>
    </w:p>
    <w:p>
      <w:pPr>
        <w:pStyle w:val="TextBody"/>
        <w:bidi w:val="0"/>
        <w:spacing w:before="240" w:after="0"/>
        <w:jc w:val="both"/>
        <w:rPr>
          <w:rFonts w:ascii="Times New Roman" w:hAnsi="Times New Roman"/>
          <w:sz w:val="20"/>
        </w:rPr>
      </w:pPr>
      <w:r>
        <w:rPr>
          <w:rFonts w:ascii="Times New Roman" w:hAnsi="Times New Roman"/>
          <w:sz w:val="20"/>
        </w:rPr>
        <w:t>2.1 </w:t>
      </w:r>
      <w:r>
        <w:rPr>
          <w:rFonts w:ascii="Times New Roman" w:hAnsi="Times New Roman"/>
          <w:b/>
          <w:i/>
          <w:sz w:val="20"/>
        </w:rPr>
        <w:t>Administrator</w:t>
      </w:r>
      <w:r>
        <w:rPr>
          <w:rFonts w:ascii="Times New Roman" w:hAnsi="Times New Roman"/>
          <w:sz w:val="20"/>
        </w:rPr>
        <w:t xml:space="preserve"> means the Committee, or such individuals to which authority to administer the Plan has been delegated under Section 7.1 hereof. </w:t>
      </w:r>
    </w:p>
    <w:p>
      <w:pPr>
        <w:pStyle w:val="TextBody"/>
        <w:bidi w:val="0"/>
        <w:spacing w:before="240" w:after="0"/>
        <w:jc w:val="both"/>
        <w:rPr>
          <w:rFonts w:ascii="Times New Roman" w:hAnsi="Times New Roman"/>
          <w:sz w:val="20"/>
        </w:rPr>
      </w:pPr>
      <w:r>
        <w:rPr>
          <w:rFonts w:ascii="Times New Roman" w:hAnsi="Times New Roman"/>
          <w:sz w:val="20"/>
        </w:rPr>
        <w:t>2.2 </w:t>
      </w:r>
      <w:r>
        <w:rPr>
          <w:rFonts w:ascii="Times New Roman" w:hAnsi="Times New Roman"/>
          <w:b/>
          <w:i/>
          <w:sz w:val="20"/>
        </w:rPr>
        <w:t>Agent</w:t>
      </w:r>
      <w:r>
        <w:rPr>
          <w:rFonts w:ascii="Times New Roman" w:hAnsi="Times New Roman"/>
          <w:sz w:val="20"/>
        </w:rPr>
        <w:t xml:space="preserve"> means the brokerage firm, bank or other financial institution, entity or person(s), if any, engaged, retained, appointed or authorized to act as the agent of the Company or an Employee with regard to the Plan. </w:t>
      </w:r>
    </w:p>
    <w:p>
      <w:pPr>
        <w:pStyle w:val="TextBody"/>
        <w:bidi w:val="0"/>
        <w:spacing w:before="240" w:after="0"/>
        <w:jc w:val="both"/>
        <w:rPr>
          <w:rFonts w:ascii="Times New Roman" w:hAnsi="Times New Roman"/>
          <w:sz w:val="20"/>
        </w:rPr>
      </w:pPr>
      <w:r>
        <w:rPr>
          <w:rFonts w:ascii="Times New Roman" w:hAnsi="Times New Roman"/>
          <w:sz w:val="20"/>
        </w:rPr>
        <w:t>2.3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both"/>
        <w:rPr>
          <w:rFonts w:ascii="Times New Roman" w:hAnsi="Times New Roman"/>
          <w:sz w:val="20"/>
        </w:rPr>
      </w:pPr>
      <w:r>
        <w:rPr>
          <w:rFonts w:ascii="Times New Roman" w:hAnsi="Times New Roman"/>
          <w:sz w:val="20"/>
        </w:rPr>
        <w:t>2.4 </w:t>
      </w:r>
      <w:r>
        <w:rPr>
          <w:rFonts w:ascii="Times New Roman" w:hAnsi="Times New Roman"/>
          <w:b/>
          <w:i/>
          <w:sz w:val="20"/>
        </w:rPr>
        <w:t>Code</w:t>
      </w:r>
      <w:r>
        <w:rPr>
          <w:rFonts w:ascii="Times New Roman" w:hAnsi="Times New Roman"/>
          <w:sz w:val="20"/>
        </w:rPr>
        <w:t xml:space="preserve"> means the U.S. Internal Revenue Code of 1986, as amended, and all regulations, guidance, compliance programs and other interpretative authority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2.5 </w:t>
      </w:r>
      <w:r>
        <w:rPr>
          <w:rFonts w:ascii="Times New Roman" w:hAnsi="Times New Roman"/>
          <w:b/>
          <w:i/>
          <w:sz w:val="20"/>
        </w:rPr>
        <w:t>Committee</w:t>
      </w:r>
      <w:r>
        <w:rPr>
          <w:rFonts w:ascii="Times New Roman" w:hAnsi="Times New Roman"/>
          <w:sz w:val="20"/>
        </w:rPr>
        <w:t xml:space="preserve"> means the Compensation Committee of the Board. </w:t>
      </w:r>
    </w:p>
    <w:p>
      <w:pPr>
        <w:pStyle w:val="TextBody"/>
        <w:bidi w:val="0"/>
        <w:spacing w:before="240" w:after="0"/>
        <w:jc w:val="both"/>
        <w:rPr>
          <w:rFonts w:ascii="Times New Roman" w:hAnsi="Times New Roman"/>
          <w:sz w:val="20"/>
        </w:rPr>
      </w:pPr>
      <w:r>
        <w:rPr>
          <w:rFonts w:ascii="Times New Roman" w:hAnsi="Times New Roman"/>
          <w:sz w:val="20"/>
        </w:rPr>
        <w:t>2.6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both"/>
        <w:rPr>
          <w:rFonts w:ascii="Times New Roman" w:hAnsi="Times New Roman"/>
          <w:sz w:val="20"/>
        </w:rPr>
      </w:pPr>
      <w:r>
        <w:rPr>
          <w:rFonts w:ascii="Times New Roman" w:hAnsi="Times New Roman"/>
          <w:sz w:val="20"/>
        </w:rPr>
        <w:t>2.7 </w:t>
      </w:r>
      <w:r>
        <w:rPr>
          <w:rFonts w:ascii="Times New Roman" w:hAnsi="Times New Roman"/>
          <w:b/>
          <w:i/>
          <w:sz w:val="20"/>
        </w:rPr>
        <w:t>Company</w:t>
      </w:r>
      <w:r>
        <w:rPr>
          <w:rFonts w:ascii="Times New Roman" w:hAnsi="Times New Roman"/>
          <w:sz w:val="20"/>
        </w:rPr>
        <w:t xml:space="preserve"> means Ouster, Inc., a Delaware corporation, or any successor. </w:t>
      </w:r>
    </w:p>
    <w:p>
      <w:pPr>
        <w:pStyle w:val="TextBody"/>
        <w:bidi w:val="0"/>
        <w:spacing w:before="240" w:after="0"/>
        <w:jc w:val="both"/>
        <w:rPr>
          <w:rFonts w:ascii="Times New Roman" w:hAnsi="Times New Roman"/>
          <w:sz w:val="20"/>
        </w:rPr>
      </w:pPr>
      <w:r>
        <w:rPr>
          <w:rFonts w:ascii="Times New Roman" w:hAnsi="Times New Roman"/>
          <w:sz w:val="20"/>
        </w:rPr>
        <w:t>2.8 </w:t>
      </w:r>
      <w:r>
        <w:rPr>
          <w:rFonts w:ascii="Times New Roman" w:hAnsi="Times New Roman"/>
          <w:b/>
          <w:i/>
          <w:sz w:val="20"/>
        </w:rPr>
        <w:t>Compensation</w:t>
      </w:r>
      <w:r>
        <w:rPr>
          <w:rFonts w:ascii="Times New Roman" w:hAnsi="Times New Roman"/>
          <w:sz w:val="20"/>
        </w:rPr>
        <w:t xml:space="preserve"> of an Employee means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 </w:t>
      </w:r>
    </w:p>
    <w:p>
      <w:pPr>
        <w:pStyle w:val="TextBody"/>
        <w:bidi w:val="0"/>
        <w:spacing w:before="240" w:after="0"/>
        <w:jc w:val="both"/>
        <w:rPr>
          <w:rFonts w:ascii="Times New Roman" w:hAnsi="Times New Roman"/>
          <w:sz w:val="20"/>
        </w:rPr>
      </w:pPr>
      <w:r>
        <w:rPr>
          <w:rFonts w:ascii="Times New Roman" w:hAnsi="Times New Roman"/>
          <w:sz w:val="20"/>
        </w:rPr>
        <w:t>2.9 </w:t>
      </w:r>
      <w:r>
        <w:rPr>
          <w:rFonts w:ascii="Times New Roman" w:hAnsi="Times New Roman"/>
          <w:b/>
          <w:i/>
          <w:sz w:val="20"/>
        </w:rPr>
        <w:t>Consultant</w:t>
      </w:r>
      <w:r>
        <w:rPr>
          <w:rFonts w:ascii="Times New Roman" w:hAnsi="Times New Roman"/>
          <w:sz w:val="20"/>
        </w:rPr>
        <w:t xml:space="preserve"> means any person, including any adviser, engaged by the Company or its parent or Designated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 </w:t>
      </w:r>
    </w:p>
    <w:p>
      <w:pPr>
        <w:pStyle w:val="TextBody"/>
        <w:bidi w:val="0"/>
        <w:spacing w:before="240" w:after="0"/>
        <w:jc w:val="both"/>
        <w:rPr>
          <w:rFonts w:ascii="Times New Roman" w:hAnsi="Times New Roman"/>
          <w:sz w:val="20"/>
        </w:rPr>
      </w:pPr>
      <w:r>
        <w:rPr>
          <w:rFonts w:ascii="Times New Roman" w:hAnsi="Times New Roman"/>
          <w:sz w:val="20"/>
        </w:rPr>
        <w:t>2.10 </w:t>
      </w:r>
      <w:r>
        <w:rPr>
          <w:rFonts w:ascii="Times New Roman" w:hAnsi="Times New Roman"/>
          <w:b/>
          <w:i/>
          <w:sz w:val="20"/>
        </w:rPr>
        <w:t>Designated Subsidiary</w:t>
      </w:r>
      <w:r>
        <w:rPr>
          <w:rFonts w:ascii="Times New Roman" w:hAnsi="Times New Roman"/>
          <w:sz w:val="20"/>
        </w:rPr>
        <w:t xml:space="preserve">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Times New Roman" w:hAnsi="Times New Roman"/>
          <w:i/>
          <w:sz w:val="20"/>
        </w:rPr>
        <w:t>provided</w:t>
      </w:r>
      <w:r>
        <w:rPr>
          <w:rFonts w:ascii="Times New Roman" w:hAnsi="Times New Roman"/>
          <w:sz w:val="20"/>
        </w:rPr>
        <w:t xml:space="preserve"> that a Subsidiary that, for U.S. tax purposes, is disregarded from the Company or any Subsidiary that participates in the Section 423 Component shall automatically constitute a Designated Subsidiary that participates in the Section 423 Component. </w:t>
      </w:r>
    </w:p>
    <w:p>
      <w:pPr>
        <w:pStyle w:val="TextBody"/>
        <w:bidi w:val="0"/>
        <w:spacing w:before="240" w:after="0"/>
        <w:jc w:val="both"/>
        <w:rPr>
          <w:rFonts w:ascii="Times New Roman" w:hAnsi="Times New Roman"/>
          <w:sz w:val="20"/>
        </w:rPr>
      </w:pPr>
      <w:r>
        <w:rPr>
          <w:rFonts w:ascii="Times New Roman" w:hAnsi="Times New Roman"/>
          <w:sz w:val="20"/>
        </w:rPr>
        <w:t>2.11 </w:t>
      </w:r>
      <w:r>
        <w:rPr>
          <w:rFonts w:ascii="Times New Roman" w:hAnsi="Times New Roman"/>
          <w:b/>
          <w:i/>
          <w:sz w:val="20"/>
        </w:rPr>
        <w:t>Effective Date</w:t>
      </w:r>
      <w:r>
        <w:rPr>
          <w:rFonts w:ascii="Times New Roman" w:hAnsi="Times New Roman"/>
          <w:sz w:val="20"/>
        </w:rPr>
        <w:t xml:space="preserve"> means June 9, 2022. </w:t>
      </w:r>
    </w:p>
    <w:p>
      <w:pPr>
        <w:pStyle w:val="TextBody"/>
        <w:bidi w:val="0"/>
        <w:spacing w:before="240" w:after="0"/>
        <w:jc w:val="both"/>
        <w:rPr>
          <w:rFonts w:ascii="Times New Roman" w:hAnsi="Times New Roman"/>
          <w:sz w:val="20"/>
        </w:rPr>
      </w:pPr>
      <w:r>
        <w:rPr>
          <w:rFonts w:ascii="Times New Roman" w:hAnsi="Times New Roman"/>
          <w:sz w:val="20"/>
        </w:rPr>
        <w:t>2.12 </w:t>
      </w:r>
      <w:r>
        <w:rPr>
          <w:rFonts w:ascii="Times New Roman" w:hAnsi="Times New Roman"/>
          <w:b/>
          <w:i/>
          <w:sz w:val="20"/>
        </w:rPr>
        <w:t>Eligible Consultant</w:t>
      </w:r>
      <w:r>
        <w:rPr>
          <w:rFonts w:ascii="Times New Roman" w:hAnsi="Times New Roman"/>
          <w:sz w:val="20"/>
        </w:rPr>
        <w:t xml:space="preserve"> means a Consultant designated by the Committee to participate in the Non-Section 423 Component. In no event shall a Consultant be eligible to participate in the Section 423 Component. </w:t>
      </w:r>
    </w:p>
    <w:p>
      <w:pPr>
        <w:pStyle w:val="TextBody"/>
        <w:bidi w:val="0"/>
        <w:spacing w:before="240" w:after="0"/>
        <w:jc w:val="both"/>
        <w:rPr>
          <w:rFonts w:ascii="Times New Roman" w:hAnsi="Times New Roman"/>
          <w:sz w:val="20"/>
        </w:rPr>
      </w:pPr>
      <w:r>
        <w:rPr>
          <w:rFonts w:ascii="Times New Roman" w:hAnsi="Times New Roman"/>
          <w:sz w:val="20"/>
        </w:rPr>
        <w:t>2.13 </w:t>
      </w:r>
      <w:r>
        <w:rPr>
          <w:rFonts w:ascii="Times New Roman" w:hAnsi="Times New Roman"/>
          <w:b/>
          <w:i/>
          <w:sz w:val="20"/>
        </w:rPr>
        <w:t>Eligible Employee</w:t>
      </w:r>
      <w:r>
        <w:rPr>
          <w:rFonts w:ascii="Times New Roman" w:hAnsi="Times New Roman"/>
          <w:sz w:val="20"/>
        </w:rPr>
        <w:t xml:space="preserve"> means an Employee: </w:t>
      </w:r>
    </w:p>
    <w:p>
      <w:pPr>
        <w:pStyle w:val="TextBody"/>
        <w:bidi w:val="0"/>
        <w:spacing w:before="240" w:after="0"/>
        <w:jc w:val="both"/>
        <w:rPr>
          <w:rFonts w:ascii="Times New Roman" w:hAnsi="Times New Roman"/>
          <w:sz w:val="20"/>
        </w:rPr>
      </w:pPr>
      <w:r>
        <w:rPr>
          <w:rFonts w:ascii="Times New Roman" w:hAnsi="Times New Roman"/>
          <w:sz w:val="20"/>
        </w:rPr>
        <w:t xml:space="preserve">(a) who is customarily scheduled to work at least 20 hours per week; </w:t>
      </w:r>
    </w:p>
    <w:p>
      <w:pPr>
        <w:pStyle w:val="TextBody"/>
        <w:bidi w:val="0"/>
        <w:spacing w:before="240" w:after="0"/>
        <w:jc w:val="both"/>
        <w:rPr>
          <w:rFonts w:ascii="Times New Roman" w:hAnsi="Times New Roman"/>
          <w:sz w:val="20"/>
        </w:rPr>
      </w:pPr>
      <w:r>
        <w:rPr>
          <w:rFonts w:ascii="Times New Roman" w:hAnsi="Times New Roman"/>
          <w:sz w:val="20"/>
        </w:rPr>
        <w:t xml:space="preserve">(b) whose customary employment is more than five months in a calendar year; and </w:t>
      </w:r>
    </w:p>
    <w:p>
      <w:pPr>
        <w:pStyle w:val="TextBody"/>
        <w:bidi w:val="0"/>
        <w:spacing w:before="240" w:after="0"/>
        <w:jc w:val="both"/>
        <w:rPr>
          <w:rFonts w:ascii="Times New Roman" w:hAnsi="Times New Roman"/>
          <w:sz w:val="20"/>
        </w:rPr>
      </w:pPr>
      <w:r>
        <w:rPr>
          <w:rFonts w:ascii="Times New Roman" w:hAnsi="Times New Roman"/>
          <w:sz w:val="20"/>
        </w:rPr>
        <w:t xml:space="preserve">(c) who, after the granting of the Option, would not be deemed for purposes of Section 423(b)(3) of the Code to possess 5% or more of the total combined voting power or value of all classes of stock of the Company or any Subsidiary.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Notwithstanding the foregoing, the Administrator may exclude from participation in the Section 423 Component as an Eligible Employee: </w:t>
      </w:r>
    </w:p>
    <w:p>
      <w:pPr>
        <w:pStyle w:val="TextBody"/>
        <w:bidi w:val="0"/>
        <w:spacing w:before="240" w:after="0"/>
        <w:jc w:val="both"/>
        <w:rPr>
          <w:rFonts w:ascii="Times New Roman" w:hAnsi="Times New Roman"/>
          <w:sz w:val="20"/>
        </w:rPr>
      </w:pPr>
      <w:r>
        <w:rPr>
          <w:rFonts w:ascii="Times New Roman" w:hAnsi="Times New Roman"/>
          <w:sz w:val="20"/>
        </w:rPr>
        <w:t xml:space="preserve">(x) 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 </w:t>
      </w:r>
    </w:p>
    <w:p>
      <w:pPr>
        <w:pStyle w:val="TextBody"/>
        <w:bidi w:val="0"/>
        <w:spacing w:before="240" w:after="0"/>
        <w:jc w:val="both"/>
        <w:rPr>
          <w:rFonts w:ascii="Times New Roman" w:hAnsi="Times New Roman"/>
          <w:sz w:val="20"/>
        </w:rPr>
      </w:pPr>
      <w:r>
        <w:rPr>
          <w:rFonts w:ascii="Times New Roman" w:hAnsi="Times New Roman"/>
          <w:sz w:val="20"/>
        </w:rPr>
        <w:t xml:space="preserve">(y) 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 </w:t>
      </w:r>
      <w:r>
        <w:rPr>
          <w:rFonts w:ascii="Times New Roman" w:hAnsi="Times New Roman"/>
          <w:i/>
          <w:sz w:val="20"/>
        </w:rPr>
        <w:t>provided</w:t>
      </w:r>
      <w:r>
        <w:rPr>
          <w:rFonts w:ascii="Times New Roman" w:hAnsi="Times New Roman"/>
          <w:sz w:val="20"/>
        </w:rPr>
        <w:t xml:space="preserve"> that any exclusion in clauses (x) or (y) shall be applied in an identical manner under each Offering to all Employees of the Company and all Designated Subsidiaries, in 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 </w:t>
      </w:r>
    </w:p>
    <w:p>
      <w:pPr>
        <w:pStyle w:val="TextBody"/>
        <w:bidi w:val="0"/>
        <w:spacing w:before="240" w:after="0"/>
        <w:jc w:val="both"/>
        <w:rPr>
          <w:rFonts w:ascii="Times New Roman" w:hAnsi="Times New Roman"/>
          <w:sz w:val="20"/>
        </w:rPr>
      </w:pPr>
      <w:r>
        <w:rPr>
          <w:rFonts w:ascii="Times New Roman" w:hAnsi="Times New Roman"/>
          <w:sz w:val="20"/>
        </w:rPr>
        <w:t>2.14 </w:t>
      </w:r>
      <w:r>
        <w:rPr>
          <w:rFonts w:ascii="Times New Roman" w:hAnsi="Times New Roman"/>
          <w:b/>
          <w:i/>
          <w:sz w:val="20"/>
        </w:rPr>
        <w:t>Employee</w:t>
      </w:r>
      <w:r>
        <w:rPr>
          <w:rFonts w:ascii="Times New Roman" w:hAnsi="Times New Roman"/>
          <w:sz w:val="20"/>
        </w:rPr>
        <w:t xml:space="preserve"> means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Subsidiary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three-month period, or such other period specified in Treas. Reg. § 1.421-1(h)(2). </w:t>
      </w:r>
    </w:p>
    <w:p>
      <w:pPr>
        <w:pStyle w:val="TextBody"/>
        <w:bidi w:val="0"/>
        <w:spacing w:before="240" w:after="0"/>
        <w:jc w:val="both"/>
        <w:rPr>
          <w:rFonts w:ascii="Times New Roman" w:hAnsi="Times New Roman"/>
          <w:sz w:val="20"/>
        </w:rPr>
      </w:pPr>
      <w:r>
        <w:rPr>
          <w:rFonts w:ascii="Times New Roman" w:hAnsi="Times New Roman"/>
          <w:sz w:val="20"/>
        </w:rPr>
        <w:t>2.15 </w:t>
      </w:r>
      <w:r>
        <w:rPr>
          <w:rFonts w:ascii="Times New Roman" w:hAnsi="Times New Roman"/>
          <w:b/>
          <w:i/>
          <w:sz w:val="20"/>
        </w:rPr>
        <w:t>Enrollment Date</w:t>
      </w:r>
      <w:r>
        <w:rPr>
          <w:rFonts w:ascii="Times New Roman" w:hAnsi="Times New Roman"/>
          <w:sz w:val="20"/>
        </w:rPr>
        <w:t xml:space="preserve"> means the first date of each Offering Period. </w:t>
      </w:r>
    </w:p>
    <w:p>
      <w:pPr>
        <w:pStyle w:val="TextBody"/>
        <w:bidi w:val="0"/>
        <w:spacing w:before="240" w:after="0"/>
        <w:jc w:val="both"/>
        <w:rPr>
          <w:rFonts w:ascii="Times New Roman" w:hAnsi="Times New Roman"/>
          <w:sz w:val="20"/>
        </w:rPr>
      </w:pPr>
      <w:r>
        <w:rPr>
          <w:rFonts w:ascii="Times New Roman" w:hAnsi="Times New Roman"/>
          <w:sz w:val="20"/>
        </w:rPr>
        <w:t>2.16 </w:t>
      </w:r>
      <w:r>
        <w:rPr>
          <w:rFonts w:ascii="Times New Roman" w:hAnsi="Times New Roman"/>
          <w:b/>
          <w:i/>
          <w:sz w:val="20"/>
        </w:rPr>
        <w:t>Exercise Date</w:t>
      </w:r>
      <w:r>
        <w:rPr>
          <w:rFonts w:ascii="Times New Roman" w:hAnsi="Times New Roman"/>
          <w:sz w:val="20"/>
        </w:rPr>
        <w:t xml:space="preserve"> means the last day of each Purchase Period, except as provided in Section 5.2 hereof. </w:t>
      </w:r>
    </w:p>
    <w:p>
      <w:pPr>
        <w:pStyle w:val="TextBody"/>
        <w:bidi w:val="0"/>
        <w:spacing w:before="240" w:after="0"/>
        <w:jc w:val="both"/>
        <w:rPr>
          <w:rFonts w:ascii="Times New Roman" w:hAnsi="Times New Roman"/>
          <w:sz w:val="20"/>
        </w:rPr>
      </w:pPr>
      <w:r>
        <w:rPr>
          <w:rFonts w:ascii="Times New Roman" w:hAnsi="Times New Roman"/>
          <w:sz w:val="20"/>
        </w:rPr>
        <w:t>2.17 </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both"/>
        <w:rPr>
          <w:rFonts w:ascii="Times New Roman" w:hAnsi="Times New Roman"/>
          <w:sz w:val="20"/>
        </w:rPr>
      </w:pPr>
      <w:r>
        <w:rPr>
          <w:rFonts w:ascii="Times New Roman" w:hAnsi="Times New Roman"/>
          <w:sz w:val="20"/>
        </w:rPr>
        <w:t>2.18 </w:t>
      </w:r>
      <w:r>
        <w:rPr>
          <w:rFonts w:ascii="Times New Roman" w:hAnsi="Times New Roman"/>
          <w:b/>
          <w:i/>
          <w:sz w:val="20"/>
        </w:rPr>
        <w:t>Fair Market Value</w:t>
      </w:r>
      <w:r>
        <w:rPr>
          <w:rFonts w:ascii="Times New Roman" w:hAnsi="Times New Roman"/>
          <w:sz w:val="20"/>
        </w:rPr>
        <w:t xml:space="preserve"> means, as of any date, the value of Common Stock determined as follows: </w:t>
      </w:r>
    </w:p>
    <w:p>
      <w:pPr>
        <w:pStyle w:val="TextBody"/>
        <w:bidi w:val="0"/>
        <w:spacing w:before="240" w:after="0"/>
        <w:jc w:val="both"/>
        <w:rPr>
          <w:rFonts w:ascii="Times New Roman" w:hAnsi="Times New Roman"/>
          <w:sz w:val="20"/>
        </w:rPr>
      </w:pPr>
      <w:r>
        <w:rPr>
          <w:rFonts w:ascii="Times New Roman" w:hAnsi="Times New Roman"/>
          <w:sz w:val="20"/>
        </w:rPr>
        <w:t xml:space="preserve">(a) 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w:t>
      </w:r>
    </w:p>
    <w:p>
      <w:pPr>
        <w:pStyle w:val="TextBody"/>
        <w:bidi w:val="0"/>
        <w:spacing w:before="240" w:after="0"/>
        <w:jc w:val="both"/>
        <w:rPr>
          <w:rFonts w:ascii="Times New Roman" w:hAnsi="Times New Roman"/>
          <w:sz w:val="20"/>
        </w:rPr>
      </w:pPr>
      <w:r>
        <w:rPr>
          <w:rFonts w:ascii="Times New Roman" w:hAnsi="Times New Roman"/>
          <w:sz w:val="20"/>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low asked prices for a share of Common Stock on such date, the high bid and low asked prices for a share of Common Stock on the last preceding date for which such information exists,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or </w:t>
      </w:r>
    </w:p>
    <w:p>
      <w:pPr>
        <w:pStyle w:val="TextBody"/>
        <w:bidi w:val="0"/>
        <w:spacing w:before="240" w:after="0"/>
        <w:jc w:val="both"/>
        <w:rPr>
          <w:rFonts w:ascii="Times New Roman" w:hAnsi="Times New Roman"/>
          <w:sz w:val="20"/>
        </w:rPr>
      </w:pPr>
      <w:r>
        <w:rPr>
          <w:rFonts w:ascii="Times New Roman" w:hAnsi="Times New Roman"/>
          <w:sz w:val="20"/>
        </w:rPr>
        <w:t xml:space="preserve">(c) If the Common Stock is neither listed on an established securities exchange, national market system or automated quotation system nor regularly quoted by a recognized securities dealer, its Fair Market Value shall be established by the Administrator in good faith. </w:t>
      </w:r>
    </w:p>
    <w:p>
      <w:pPr>
        <w:pStyle w:val="TextBody"/>
        <w:bidi w:val="0"/>
        <w:spacing w:before="240" w:after="0"/>
        <w:jc w:val="both"/>
        <w:rPr>
          <w:rFonts w:ascii="Times New Roman" w:hAnsi="Times New Roman"/>
          <w:sz w:val="20"/>
        </w:rPr>
      </w:pPr>
      <w:r>
        <w:rPr>
          <w:rFonts w:ascii="Times New Roman" w:hAnsi="Times New Roman"/>
          <w:sz w:val="20"/>
        </w:rPr>
        <w:t>2.19 </w:t>
      </w:r>
      <w:r>
        <w:rPr>
          <w:rFonts w:ascii="Times New Roman" w:hAnsi="Times New Roman"/>
          <w:b/>
          <w:i/>
          <w:sz w:val="20"/>
        </w:rPr>
        <w:t>Grant Date</w:t>
      </w:r>
      <w:r>
        <w:rPr>
          <w:rFonts w:ascii="Times New Roman" w:hAnsi="Times New Roman"/>
          <w:sz w:val="20"/>
        </w:rPr>
        <w:t xml:space="preserve"> means the first day of an Offering Period. </w:t>
      </w:r>
    </w:p>
    <w:p>
      <w:pPr>
        <w:pStyle w:val="TextBody"/>
        <w:bidi w:val="0"/>
        <w:spacing w:before="240" w:after="0"/>
        <w:jc w:val="both"/>
        <w:rPr>
          <w:rFonts w:ascii="Times New Roman" w:hAnsi="Times New Roman"/>
          <w:sz w:val="20"/>
        </w:rPr>
      </w:pPr>
      <w:r>
        <w:rPr>
          <w:rFonts w:ascii="Times New Roman" w:hAnsi="Times New Roman"/>
          <w:sz w:val="20"/>
        </w:rPr>
        <w:t>2.20 </w:t>
      </w:r>
      <w:r>
        <w:rPr>
          <w:rFonts w:ascii="Times New Roman" w:hAnsi="Times New Roman"/>
          <w:b/>
          <w:i/>
          <w:sz w:val="20"/>
        </w:rPr>
        <w:t>New Exercise Date</w:t>
      </w:r>
      <w:r>
        <w:rPr>
          <w:rFonts w:ascii="Times New Roman" w:hAnsi="Times New Roman"/>
          <w:sz w:val="20"/>
        </w:rPr>
        <w:t xml:space="preserve"> has the meaning set forth in Section 5.2(b) hereof. </w:t>
      </w:r>
    </w:p>
    <w:p>
      <w:pPr>
        <w:pStyle w:val="TextBody"/>
        <w:bidi w:val="0"/>
        <w:spacing w:before="240" w:after="0"/>
        <w:jc w:val="both"/>
        <w:rPr>
          <w:rFonts w:ascii="Times New Roman" w:hAnsi="Times New Roman"/>
          <w:sz w:val="20"/>
        </w:rPr>
      </w:pPr>
      <w:r>
        <w:rPr>
          <w:rFonts w:ascii="Times New Roman" w:hAnsi="Times New Roman"/>
          <w:sz w:val="20"/>
        </w:rPr>
        <w:t>2.21 </w:t>
      </w:r>
      <w:r>
        <w:rPr>
          <w:rFonts w:ascii="Times New Roman" w:hAnsi="Times New Roman"/>
          <w:b/>
          <w:i/>
          <w:sz w:val="20"/>
        </w:rPr>
        <w:t>Non-Section 423 Component</w:t>
      </w:r>
      <w:r>
        <w:rPr>
          <w:rFonts w:ascii="Times New Roman" w:hAnsi="Times New Roman"/>
          <w:sz w:val="20"/>
        </w:rPr>
        <w:t xml:space="preserve"> means those Offerings under the Plan, together with the sub-plans, appendices, rules or procedures, if any, adopted by the Administrator as a part of this Plan, in each case, pursuant to which Options may be granted to non-U.S. Eligible Employees and Eligible Consultants that need not satisfy the requirements for Options granted pursuant to an employee stock purchase plan that are set forth under Section 423 of the Code. </w:t>
      </w:r>
    </w:p>
    <w:p>
      <w:pPr>
        <w:pStyle w:val="TextBody"/>
        <w:bidi w:val="0"/>
        <w:spacing w:before="240" w:after="0"/>
        <w:jc w:val="both"/>
        <w:rPr>
          <w:rFonts w:ascii="Times New Roman" w:hAnsi="Times New Roman"/>
          <w:sz w:val="20"/>
        </w:rPr>
      </w:pPr>
      <w:r>
        <w:rPr>
          <w:rFonts w:ascii="Times New Roman" w:hAnsi="Times New Roman"/>
          <w:sz w:val="20"/>
        </w:rPr>
        <w:t>2.22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Section 4 hereof. Unless otherwise specified by the Administrator, each Offering to the Eligible Employees of the Company or a Designated Subsidiary shall be deemed a separate Offering, even if the dates and other terms of the applicable Exercise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 </w:t>
      </w:r>
    </w:p>
    <w:p>
      <w:pPr>
        <w:pStyle w:val="TextBody"/>
        <w:bidi w:val="0"/>
        <w:spacing w:before="240" w:after="0"/>
        <w:jc w:val="both"/>
        <w:rPr>
          <w:rFonts w:ascii="Times New Roman" w:hAnsi="Times New Roman"/>
          <w:sz w:val="20"/>
        </w:rPr>
      </w:pPr>
      <w:r>
        <w:rPr>
          <w:rFonts w:ascii="Times New Roman" w:hAnsi="Times New Roman"/>
          <w:sz w:val="20"/>
        </w:rPr>
        <w:t>2.23 </w:t>
      </w:r>
      <w:r>
        <w:rPr>
          <w:rFonts w:ascii="Times New Roman" w:hAnsi="Times New Roman"/>
          <w:b/>
          <w:i/>
          <w:sz w:val="20"/>
        </w:rPr>
        <w:t>Offering Period</w:t>
      </w:r>
      <w:r>
        <w:rPr>
          <w:rFonts w:ascii="Times New Roman" w:hAnsi="Times New Roman"/>
          <w:sz w:val="20"/>
        </w:rPr>
        <w:t xml:space="preserve"> means each consecutive, overlapping twenty-four (24) month period commencing on such date(s) as determined by the Board or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twenty-seven (27) months. </w:t>
      </w:r>
    </w:p>
    <w:p>
      <w:pPr>
        <w:pStyle w:val="TextBody"/>
        <w:bidi w:val="0"/>
        <w:spacing w:before="240" w:after="0"/>
        <w:jc w:val="both"/>
        <w:rPr>
          <w:rFonts w:ascii="Times New Roman" w:hAnsi="Times New Roman"/>
          <w:sz w:val="20"/>
        </w:rPr>
      </w:pPr>
      <w:r>
        <w:rPr>
          <w:rFonts w:ascii="Times New Roman" w:hAnsi="Times New Roman"/>
          <w:sz w:val="20"/>
        </w:rPr>
        <w:t>2.24 </w:t>
      </w:r>
      <w:r>
        <w:rPr>
          <w:rFonts w:ascii="Times New Roman" w:hAnsi="Times New Roman"/>
          <w:b/>
          <w:i/>
          <w:sz w:val="20"/>
        </w:rPr>
        <w:t>Option</w:t>
      </w:r>
      <w:r>
        <w:rPr>
          <w:rFonts w:ascii="Times New Roman" w:hAnsi="Times New Roman"/>
          <w:sz w:val="20"/>
        </w:rPr>
        <w:t xml:space="preserve"> means the right to purchase shares of Common Stock pursuant to the Plan during each Offering Period. </w:t>
      </w:r>
    </w:p>
    <w:p>
      <w:pPr>
        <w:pStyle w:val="TextBody"/>
        <w:bidi w:val="0"/>
        <w:spacing w:before="240" w:after="0"/>
        <w:jc w:val="both"/>
        <w:rPr>
          <w:rFonts w:ascii="Times New Roman" w:hAnsi="Times New Roman"/>
          <w:sz w:val="20"/>
        </w:rPr>
      </w:pPr>
      <w:r>
        <w:rPr>
          <w:rFonts w:ascii="Times New Roman" w:hAnsi="Times New Roman"/>
          <w:sz w:val="20"/>
        </w:rPr>
        <w:t>2.25 </w:t>
      </w:r>
      <w:r>
        <w:rPr>
          <w:rFonts w:ascii="Times New Roman" w:hAnsi="Times New Roman"/>
          <w:b/>
          <w:i/>
          <w:sz w:val="20"/>
        </w:rPr>
        <w:t>Option Price</w:t>
      </w:r>
      <w:r>
        <w:rPr>
          <w:rFonts w:ascii="Times New Roman" w:hAnsi="Times New Roman"/>
          <w:sz w:val="20"/>
        </w:rPr>
        <w:t xml:space="preserve"> means the purchase price of a share of Common Stock hereunder as provided in Section 4.2 hereof. </w:t>
      </w:r>
    </w:p>
    <w:p>
      <w:pPr>
        <w:pStyle w:val="TextBody"/>
        <w:bidi w:val="0"/>
        <w:spacing w:before="240" w:after="0"/>
        <w:jc w:val="both"/>
        <w:rPr>
          <w:rFonts w:ascii="Times New Roman" w:hAnsi="Times New Roman"/>
          <w:sz w:val="20"/>
        </w:rPr>
      </w:pPr>
      <w:r>
        <w:rPr>
          <w:rFonts w:ascii="Times New Roman" w:hAnsi="Times New Roman"/>
          <w:sz w:val="20"/>
        </w:rPr>
        <w:t>2.26 </w:t>
      </w:r>
      <w:r>
        <w:rPr>
          <w:rFonts w:ascii="Times New Roman" w:hAnsi="Times New Roman"/>
          <w:b/>
          <w:i/>
          <w:sz w:val="20"/>
        </w:rPr>
        <w:t>Parent</w:t>
      </w:r>
      <w:r>
        <w:rPr>
          <w:rFonts w:ascii="Times New Roman" w:hAnsi="Times New Roman"/>
          <w:sz w:val="20"/>
        </w:rPr>
        <w:t xml:space="preserve"> means any entity that is a parent corporation of the Company within the meaning of Section 424 of the Code. </w:t>
      </w:r>
    </w:p>
    <w:p>
      <w:pPr>
        <w:pStyle w:val="TextBody"/>
        <w:bidi w:val="0"/>
        <w:spacing w:before="240" w:after="0"/>
        <w:jc w:val="both"/>
        <w:rPr>
          <w:rFonts w:ascii="Times New Roman" w:hAnsi="Times New Roman"/>
          <w:sz w:val="20"/>
        </w:rPr>
      </w:pPr>
      <w:r>
        <w:rPr>
          <w:rFonts w:ascii="Times New Roman" w:hAnsi="Times New Roman"/>
          <w:sz w:val="20"/>
        </w:rPr>
        <w:t>2.27 </w:t>
      </w:r>
      <w:r>
        <w:rPr>
          <w:rFonts w:ascii="Times New Roman" w:hAnsi="Times New Roman"/>
          <w:b/>
          <w:i/>
          <w:sz w:val="20"/>
        </w:rPr>
        <w:t>Participant</w:t>
      </w:r>
      <w:r>
        <w:rPr>
          <w:rFonts w:ascii="Times New Roman" w:hAnsi="Times New Roman"/>
          <w:sz w:val="20"/>
        </w:rPr>
        <w:t xml:space="preserve"> means any Eligible Employee who elects to participate in the Plan and any Eligible Consultant who elects to participate in the Non-Section 423 Component of the Plan. </w:t>
      </w:r>
    </w:p>
    <w:p>
      <w:pPr>
        <w:pStyle w:val="TextBody"/>
        <w:bidi w:val="0"/>
        <w:spacing w:before="240" w:after="0"/>
        <w:jc w:val="both"/>
        <w:rPr>
          <w:rFonts w:ascii="Times New Roman" w:hAnsi="Times New Roman"/>
          <w:sz w:val="20"/>
        </w:rPr>
      </w:pPr>
      <w:r>
        <w:rPr>
          <w:rFonts w:ascii="Times New Roman" w:hAnsi="Times New Roman"/>
          <w:sz w:val="20"/>
        </w:rPr>
        <w:t>2.28 </w:t>
      </w:r>
      <w:r>
        <w:rPr>
          <w:rFonts w:ascii="Times New Roman" w:hAnsi="Times New Roman"/>
          <w:b/>
          <w:i/>
          <w:sz w:val="20"/>
        </w:rPr>
        <w:t>Payday</w:t>
      </w:r>
      <w:r>
        <w:rPr>
          <w:rFonts w:ascii="Times New Roman" w:hAnsi="Times New Roman"/>
          <w:sz w:val="20"/>
        </w:rPr>
        <w:t xml:space="preserve"> means the regular and recurring established day for payment of Compensation to an Employee of the Company or any Designated Subsidiary. </w:t>
      </w:r>
    </w:p>
    <w:p>
      <w:pPr>
        <w:pStyle w:val="TextBody"/>
        <w:bidi w:val="0"/>
        <w:spacing w:before="240" w:after="0"/>
        <w:jc w:val="both"/>
        <w:rPr>
          <w:rFonts w:ascii="Times New Roman" w:hAnsi="Times New Roman"/>
          <w:sz w:val="20"/>
        </w:rPr>
      </w:pPr>
      <w:r>
        <w:rPr>
          <w:rFonts w:ascii="Times New Roman" w:hAnsi="Times New Roman"/>
          <w:sz w:val="20"/>
        </w:rPr>
        <w:t>2.29 </w:t>
      </w:r>
      <w:r>
        <w:rPr>
          <w:rFonts w:ascii="Times New Roman" w:hAnsi="Times New Roman"/>
          <w:b/>
          <w:i/>
          <w:sz w:val="20"/>
        </w:rPr>
        <w:t>Plan</w:t>
      </w:r>
      <w:r>
        <w:rPr>
          <w:rFonts w:ascii="Times New Roman" w:hAnsi="Times New Roman"/>
          <w:sz w:val="20"/>
        </w:rPr>
        <w:t xml:space="preserve"> means this Amended and Restated 2022 Employee Stock Purchase Plan, including both the Section 423 Component and Non-Section 423 Component and any other sub-plans or appendices hereto, as amended from time to time. </w:t>
      </w:r>
    </w:p>
    <w:p>
      <w:pPr>
        <w:pStyle w:val="TextBody"/>
        <w:bidi w:val="0"/>
        <w:spacing w:before="240" w:after="0"/>
        <w:jc w:val="both"/>
        <w:rPr>
          <w:rFonts w:ascii="Times New Roman" w:hAnsi="Times New Roman"/>
          <w:sz w:val="20"/>
        </w:rPr>
      </w:pPr>
      <w:r>
        <w:rPr>
          <w:rFonts w:ascii="Times New Roman" w:hAnsi="Times New Roman"/>
          <w:sz w:val="20"/>
        </w:rPr>
        <w:t>2.30 </w:t>
      </w:r>
      <w:r>
        <w:rPr>
          <w:rFonts w:ascii="Times New Roman" w:hAnsi="Times New Roman"/>
          <w:b/>
          <w:i/>
          <w:sz w:val="20"/>
        </w:rPr>
        <w:t>Plan Account</w:t>
      </w:r>
      <w:r>
        <w:rPr>
          <w:rFonts w:ascii="Times New Roman" w:hAnsi="Times New Roman"/>
          <w:sz w:val="20"/>
        </w:rPr>
        <w:t xml:space="preserve"> means a bookkeeping account established and maintained by the Company in the name of each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2.31 </w:t>
      </w:r>
      <w:r>
        <w:rPr>
          <w:rFonts w:ascii="Times New Roman" w:hAnsi="Times New Roman"/>
          <w:b/>
          <w:i/>
          <w:sz w:val="20"/>
        </w:rPr>
        <w:t>Purchase Period</w:t>
      </w:r>
      <w:r>
        <w:rPr>
          <w:rFonts w:ascii="Times New Roman" w:hAnsi="Times New Roman"/>
          <w:sz w:val="20"/>
        </w:rPr>
        <w:t xml:space="preserve"> means each consecutive six (6) month period commencing on such date(s) as determined by the Board or Committee, in its sole discretion, within each Offering Period. The first Purchase Period of each Offering Period shall commence on the Grant Date and end with the next Exercise Date. The duration and timing of Purchase Periods may be established or changed by the Board or Committee at any time, in its sole discretion. Notwithstanding the foregoing, in no event may a Purchase Period exceed the duration of the Offering Period under which it is established. </w:t>
      </w:r>
    </w:p>
    <w:p>
      <w:pPr>
        <w:pStyle w:val="TextBody"/>
        <w:bidi w:val="0"/>
        <w:spacing w:before="240" w:after="0"/>
        <w:jc w:val="both"/>
        <w:rPr>
          <w:rFonts w:ascii="Times New Roman" w:hAnsi="Times New Roman"/>
          <w:sz w:val="20"/>
        </w:rPr>
      </w:pPr>
      <w:r>
        <w:rPr>
          <w:rFonts w:ascii="Times New Roman" w:hAnsi="Times New Roman"/>
          <w:sz w:val="20"/>
        </w:rPr>
        <w:t>2.32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w:t>
      </w:r>
    </w:p>
    <w:p>
      <w:pPr>
        <w:pStyle w:val="TextBody"/>
        <w:bidi w:val="0"/>
        <w:spacing w:before="240" w:after="0"/>
        <w:jc w:val="both"/>
        <w:rPr>
          <w:rFonts w:ascii="Times New Roman" w:hAnsi="Times New Roman"/>
          <w:sz w:val="20"/>
        </w:rPr>
      </w:pPr>
      <w:r>
        <w:rPr>
          <w:rFonts w:ascii="Times New Roman" w:hAnsi="Times New Roman"/>
          <w:sz w:val="20"/>
        </w:rPr>
        <w:t>2.33 </w:t>
      </w:r>
      <w:r>
        <w:rPr>
          <w:rFonts w:ascii="Times New Roman" w:hAnsi="Times New Roman"/>
          <w:b/>
          <w:i/>
          <w:sz w:val="20"/>
        </w:rPr>
        <w:t>Section</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those Offerings under the Plan that are intended to meet the requirements under Section 423(b) of the Code. </w:t>
      </w:r>
    </w:p>
    <w:p>
      <w:pPr>
        <w:pStyle w:val="TextBody"/>
        <w:bidi w:val="0"/>
        <w:spacing w:before="240" w:after="0"/>
        <w:jc w:val="both"/>
        <w:rPr>
          <w:rFonts w:ascii="Times New Roman" w:hAnsi="Times New Roman"/>
          <w:sz w:val="20"/>
        </w:rPr>
      </w:pPr>
      <w:r>
        <w:rPr>
          <w:rFonts w:ascii="Times New Roman" w:hAnsi="Times New Roman"/>
          <w:sz w:val="20"/>
        </w:rPr>
        <w:t>2.34 </w:t>
      </w:r>
      <w:r>
        <w:rPr>
          <w:rFonts w:ascii="Times New Roman" w:hAnsi="Times New Roman"/>
          <w:b/>
          <w:i/>
          <w:sz w:val="20"/>
        </w:rPr>
        <w:t>Subsidiary</w:t>
      </w:r>
      <w:r>
        <w:rPr>
          <w:rFonts w:ascii="Times New Roman" w:hAnsi="Times New Roman"/>
          <w:sz w:val="20"/>
        </w:rPr>
        <w:t xml:space="preserve"> means any entity that is a subsidiary corporation of the Company within the meaning of Section 424 of the Code. In addition, with respect to the Non-Section 423 Component, Subsidiary shall include any corporate or noncorporate entity in which the Company has a direct or indirect equity interest or significant business relationship. </w:t>
      </w:r>
    </w:p>
    <w:p>
      <w:pPr>
        <w:pStyle w:val="TextBody"/>
        <w:bidi w:val="0"/>
        <w:spacing w:before="240" w:after="0"/>
        <w:jc w:val="both"/>
        <w:rPr>
          <w:rFonts w:ascii="Times New Roman" w:hAnsi="Times New Roman"/>
          <w:sz w:val="20"/>
        </w:rPr>
      </w:pPr>
      <w:r>
        <w:rPr>
          <w:rFonts w:ascii="Times New Roman" w:hAnsi="Times New Roman"/>
          <w:sz w:val="20"/>
        </w:rPr>
        <w:t>2.35 </w:t>
      </w:r>
      <w:r>
        <w:rPr>
          <w:rFonts w:ascii="Times New Roman" w:hAnsi="Times New Roman"/>
          <w:b/>
          <w:i/>
          <w:sz w:val="20"/>
        </w:rPr>
        <w:t>Treas. Reg.</w:t>
      </w:r>
      <w:r>
        <w:rPr>
          <w:rFonts w:ascii="Times New Roman" w:hAnsi="Times New Roman"/>
          <w:sz w:val="20"/>
        </w:rPr>
        <w:t xml:space="preserve"> means U.S. Department of the Treasury regulations. </w:t>
      </w:r>
    </w:p>
    <w:p>
      <w:pPr>
        <w:pStyle w:val="TextBody"/>
        <w:bidi w:val="0"/>
        <w:spacing w:before="240" w:after="0"/>
        <w:jc w:val="both"/>
        <w:rPr>
          <w:rFonts w:ascii="Times New Roman" w:hAnsi="Times New Roman"/>
          <w:sz w:val="20"/>
        </w:rPr>
      </w:pPr>
      <w:r>
        <w:rPr>
          <w:rFonts w:ascii="Times New Roman" w:hAnsi="Times New Roman"/>
          <w:sz w:val="20"/>
        </w:rPr>
        <w:t>2.36 </w:t>
      </w:r>
      <w:r>
        <w:rPr>
          <w:rFonts w:ascii="Times New Roman" w:hAnsi="Times New Roman"/>
          <w:b/>
          <w:i/>
          <w:sz w:val="20"/>
        </w:rPr>
        <w:t>Withdrawal Election</w:t>
      </w:r>
      <w:r>
        <w:rPr>
          <w:rFonts w:ascii="Times New Roman" w:hAnsi="Times New Roman"/>
          <w:sz w:val="20"/>
        </w:rPr>
        <w:t xml:space="preserve"> has the meaning set forth in Section 6.1(a)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PARTICIPATION </w:t>
      </w:r>
    </w:p>
    <w:p>
      <w:pPr>
        <w:pStyle w:val="TextBody"/>
        <w:bidi w:val="0"/>
        <w:spacing w:before="240" w:after="0"/>
        <w:jc w:val="both"/>
        <w:rPr>
          <w:rFonts w:ascii="Times New Roman" w:hAnsi="Times New Roman"/>
          <w:sz w:val="20"/>
        </w:rPr>
      </w:pPr>
      <w:r>
        <w:rPr>
          <w:rFonts w:ascii="Times New Roman" w:hAnsi="Times New Roman"/>
          <w:sz w:val="20"/>
        </w:rPr>
        <w:t xml:space="preserve">3.1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 Any Eligible Consultant who is engaged by the Company or a Designated Subsidiary, including, without limitation, through a professional employer organization, on a given Enrollment Date for an Offering Period shall be eligible to participate in the Non-Section 423 Component of the Plan during such Offering Period, subject to the requirements of Article 4 and 5 hereof. </w:t>
      </w:r>
    </w:p>
    <w:p>
      <w:pPr>
        <w:pStyle w:val="TextBody"/>
        <w:bidi w:val="0"/>
        <w:spacing w:before="240" w:after="0"/>
        <w:jc w:val="both"/>
        <w:rPr>
          <w:rFonts w:ascii="Times New Roman" w:hAnsi="Times New Roman"/>
          <w:sz w:val="20"/>
        </w:rPr>
      </w:pPr>
      <w:r>
        <w:rPr>
          <w:rFonts w:ascii="Times New Roman" w:hAnsi="Times New Roman"/>
          <w:sz w:val="20"/>
        </w:rPr>
        <w:t xml:space="preserve">(b) 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 No Eligible Consultant shall be granted an Option under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3.2 </w:t>
      </w:r>
      <w:r>
        <w:rPr>
          <w:rFonts w:ascii="Times New Roman" w:hAnsi="Times New Roman"/>
          <w:sz w:val="20"/>
          <w:u w:val="single"/>
        </w:rPr>
        <w:t>Election to Participate; Payroll Deductions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Except as provided in Sections 3.2(e) and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 Except as provided in Sections 3.2(e) and 3.3 hereof, an Eligible Consultant may become a Participant in the Non-Section 423 Component of the Plan only by means of a deduction from fees payable by the Company or a Designated Subsidiary to such Eligible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individual who is an Eligible Consultant as of an Offering Periods Enrollment Date may elect to participate in the Non-Section 423 Component of such Offering Period and the Plan by delivering to the Company a fee deduction authorization no later than the period of time prior to the applicable Enrollment Date that is determined by the Administrator, in its sole discretion. </w:t>
      </w:r>
    </w:p>
    <w:p>
      <w:pPr>
        <w:pStyle w:val="TextBody"/>
        <w:bidi w:val="0"/>
        <w:spacing w:before="240" w:after="0"/>
        <w:jc w:val="both"/>
        <w:rPr>
          <w:rFonts w:ascii="Times New Roman" w:hAnsi="Times New Roman"/>
          <w:sz w:val="20"/>
        </w:rPr>
      </w:pPr>
      <w:r>
        <w:rPr>
          <w:rFonts w:ascii="Times New Roman" w:hAnsi="Times New Roman"/>
          <w:sz w:val="20"/>
        </w:rPr>
        <w:t xml:space="preserve">(b) Subject to Section 3.1(b) hereof and except as may otherwise be determined by the Administrator,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provided that for the first Offering Period under this Plan, payroll deductions shall not begin until such date determined by the Board or Committee, in its sole discretion. </w:t>
      </w:r>
    </w:p>
    <w:p>
      <w:pPr>
        <w:pStyle w:val="TextBody"/>
        <w:bidi w:val="0"/>
        <w:spacing w:before="240" w:after="0"/>
        <w:jc w:val="both"/>
        <w:rPr>
          <w:rFonts w:ascii="Times New Roman" w:hAnsi="Times New Roman"/>
          <w:sz w:val="20"/>
        </w:rPr>
      </w:pPr>
      <w:r>
        <w:rPr>
          <w:rFonts w:ascii="Times New Roman" w:hAnsi="Times New Roman"/>
          <w:sz w:val="20"/>
        </w:rPr>
        <w:t xml:space="preserve">(c) Following at least one payroll or fee deduction, a Participant may decrease (to as low as zero) the amount deducted from such Participants Compensation only once during an Offering Period upon ten calendar days prior written notice to the Company. A Participant may not increase the amount deducted from such Participants Compensation during an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(d) Upon the completion of an Offering Period, each Participant in such Offering Period shall automatically participate in the immediately following Offering Period at the same payroll or fee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 </w:t>
      </w:r>
    </w:p>
    <w:p>
      <w:pPr>
        <w:pStyle w:val="TextBody"/>
        <w:bidi w:val="0"/>
        <w:spacing w:before="240" w:after="0"/>
        <w:jc w:val="both"/>
        <w:rPr>
          <w:rFonts w:ascii="Times New Roman" w:hAnsi="Times New Roman"/>
          <w:sz w:val="20"/>
        </w:rPr>
      </w:pPr>
      <w:r>
        <w:rPr>
          <w:rFonts w:ascii="Times New Roman" w:hAnsi="Times New Roman"/>
          <w:sz w:val="20"/>
        </w:rPr>
        <w:t xml:space="preserve">(e) Notwithstanding any other provisions of the Plan to the contrary, in non-U.S. jurisdictions where participation in the Plan through payroll or fee deductions is prohibited, the Administrator may provide that an Eligible Employee may elect to participate through contributions to the Participants account under the Plan in a form acceptable to the Administrator in lieu of or in addition to payroll or fee deductions; provided, however, that, for any Offering under the Section 423 Component, the Administrator must determine that any alternative method of contribution is applied on an equal and uniform basis to all Eligible Employees in the Offering. </w:t>
      </w:r>
    </w:p>
    <w:p>
      <w:pPr>
        <w:pStyle w:val="TextBody"/>
        <w:bidi w:val="0"/>
        <w:spacing w:before="240" w:after="0"/>
        <w:jc w:val="both"/>
        <w:rPr>
          <w:rFonts w:ascii="Times New Roman" w:hAnsi="Times New Roman"/>
          <w:sz w:val="20"/>
        </w:rPr>
      </w:pPr>
      <w:r>
        <w:rPr>
          <w:rFonts w:ascii="Times New Roman" w:hAnsi="Times New Roman"/>
          <w:sz w:val="20"/>
        </w:rPr>
        <w:t xml:space="preserve">3.3 </w:t>
      </w:r>
      <w:r>
        <w:rPr>
          <w:rFonts w:ascii="Times New Roman" w:hAnsi="Times New Roman"/>
          <w:sz w:val="20"/>
          <w:u w:val="single"/>
        </w:rPr>
        <w:t>Leave of Absence</w:t>
      </w:r>
      <w:r>
        <w:rPr>
          <w:rFonts w:ascii="Times New Roman" w:hAnsi="Times New Roman"/>
          <w:sz w:val="20"/>
        </w:rPr>
        <w:t xml:space="preserve">. During leaves of absence approved by the Company meeting the requirements of Treas. Reg. § 1.421-1(h)(2), a Participant may continue participation in the Plan by making cash payments to the Company on the Participants normal payday equal to the Participants authorized payroll deduction.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OF SHARES </w:t>
      </w:r>
    </w:p>
    <w:p>
      <w:pPr>
        <w:pStyle w:val="TextBody"/>
        <w:bidi w:val="0"/>
        <w:spacing w:before="240" w:after="0"/>
        <w:jc w:val="both"/>
        <w:rPr>
          <w:rFonts w:ascii="Times New Roman" w:hAnsi="Times New Roman"/>
          <w:sz w:val="20"/>
        </w:rPr>
      </w:pPr>
      <w:r>
        <w:rPr>
          <w:rFonts w:ascii="Times New Roman" w:hAnsi="Times New Roman"/>
          <w:sz w:val="20"/>
        </w:rPr>
        <w:t xml:space="preserve">4.1 </w:t>
      </w:r>
      <w:r>
        <w:rPr>
          <w:rFonts w:ascii="Times New Roman" w:hAnsi="Times New Roman"/>
          <w:sz w:val="20"/>
          <w:u w:val="single"/>
        </w:rPr>
        <w:t>Grant of Option</w:t>
      </w:r>
      <w:r>
        <w:rPr>
          <w:rFonts w:ascii="Times New Roman" w:hAnsi="Times New Roman"/>
          <w:sz w:val="20"/>
        </w:rPr>
        <w:t xml:space="preserve">. The Company may make one or more Offerings under the Plan, which may be successive or overlapping with one another, until the earlier of: (i) the date on which the Shares available under the Plan have been sold or (ii) the date on which the Plan is suspended or terminates.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Times New Roman" w:hAnsi="Times New Roman"/>
          <w:i/>
          <w:sz w:val="20"/>
        </w:rPr>
        <w:t>provided</w:t>
      </w:r>
      <w:r>
        <w:rPr>
          <w:rFonts w:ascii="Times New Roman" w:hAnsi="Times New Roman"/>
          <w:sz w:val="20"/>
        </w:rPr>
        <w:t xml:space="preserve"> that in no event shall a Participant be permitted to purchase during each Offering Period more than 100,000 shares of Common Stock (subject to any adjustment pursuant to Section 5.2 hereof). The Administrator may, for future Offering Periods, increase or decrease, in its absolute discretion,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 </w:t>
      </w:r>
    </w:p>
    <w:p>
      <w:pPr>
        <w:pStyle w:val="TextBody"/>
        <w:bidi w:val="0"/>
        <w:spacing w:before="240" w:after="0"/>
        <w:jc w:val="both"/>
        <w:rPr>
          <w:rFonts w:ascii="Times New Roman" w:hAnsi="Times New Roman"/>
          <w:sz w:val="20"/>
        </w:rPr>
      </w:pPr>
      <w:r>
        <w:rPr>
          <w:rFonts w:ascii="Times New Roman" w:hAnsi="Times New Roman"/>
          <w:sz w:val="20"/>
        </w:rPr>
        <w:t xml:space="preserve">4.2 </w:t>
      </w:r>
      <w:r>
        <w:rPr>
          <w:rFonts w:ascii="Times New Roman" w:hAnsi="Times New Roman"/>
          <w:sz w:val="20"/>
          <w:u w:val="single"/>
        </w:rPr>
        <w:t>Option Price</w:t>
      </w:r>
      <w:r>
        <w:rPr>
          <w:rFonts w:ascii="Times New Roman" w:hAnsi="Times New Roman"/>
          <w:sz w:val="20"/>
        </w:rPr>
        <w:t>. The </w:t>
      </w:r>
      <w:r>
        <w:rPr>
          <w:rFonts w:ascii="Times New Roman" w:hAnsi="Times New Roman"/>
          <w:b/>
          <w:i/>
          <w:sz w:val="20"/>
        </w:rPr>
        <w:t>Option Price</w:t>
      </w:r>
      <w:r>
        <w:rPr>
          <w:rFonts w:ascii="Times New Roman" w:hAnsi="Times New Roman"/>
          <w:sz w:val="20"/>
        </w:rPr>
        <w:t xml:space="preserve"> per share of Common Stock to be paid by a Participant upon exercise of the Participants Option on an Exercise Date for an Offering Period shall equal 85% of the lesser of the Fair Market Value of a share of Common Stock on (a) the applicable Grant Date and (b) the applicable Exercise Date, or such other price designated by the Administrator; </w:t>
      </w:r>
      <w:r>
        <w:rPr>
          <w:rFonts w:ascii="Times New Roman" w:hAnsi="Times New Roman"/>
          <w:i/>
          <w:sz w:val="20"/>
        </w:rPr>
        <w:t>provided</w:t>
      </w:r>
      <w:r>
        <w:rPr>
          <w:rFonts w:ascii="Times New Roman" w:hAnsi="Times New Roman"/>
          <w:sz w:val="20"/>
        </w:rPr>
        <w:t xml:space="preserve"> that in no event shall the Option Price per share of Common Stock be less than the par value per share of the Common Stock. </w:t>
      </w:r>
    </w:p>
    <w:p>
      <w:pPr>
        <w:pStyle w:val="TextBody"/>
        <w:bidi w:val="0"/>
        <w:spacing w:before="240" w:after="0"/>
        <w:jc w:val="both"/>
        <w:rPr>
          <w:rFonts w:ascii="Times New Roman" w:hAnsi="Times New Roman"/>
          <w:sz w:val="20"/>
        </w:rPr>
      </w:pPr>
      <w:r>
        <w:rPr>
          <w:rFonts w:ascii="Times New Roman" w:hAnsi="Times New Roman"/>
          <w:sz w:val="20"/>
        </w:rPr>
        <w:t xml:space="preserve">4.3 </w:t>
      </w:r>
      <w:r>
        <w:rPr>
          <w:rFonts w:ascii="Times New Roman" w:hAnsi="Times New Roman"/>
          <w:sz w:val="20"/>
          <w:u w:val="single"/>
        </w:rPr>
        <w:t>Purchase of Shares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or Eligible Consultant. Any balance not carried forward to the next Purchase Period or Offering Period in accordance with the prior sentence promptly shall be refunded to the applicable Participant. In no event shall an amount greater than or equal to the per share Option Price as of an Exercise Date be carried forward to the next Purchase Period or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(b) As soon as practicable following each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w:t>
      </w:r>
    </w:p>
    <w:p>
      <w:pPr>
        <w:pStyle w:val="TextBody"/>
        <w:bidi w:val="0"/>
        <w:spacing w:before="240" w:after="0"/>
        <w:jc w:val="both"/>
        <w:rPr>
          <w:rFonts w:ascii="Times New Roman" w:hAnsi="Times New Roman"/>
          <w:sz w:val="20"/>
        </w:rPr>
      </w:pPr>
      <w:r>
        <w:rPr>
          <w:rFonts w:ascii="Times New Roman" w:hAnsi="Times New Roman"/>
          <w:sz w:val="20"/>
        </w:rPr>
        <w:t xml:space="preserve">4.4 </w:t>
      </w:r>
      <w:r>
        <w:rPr>
          <w:rFonts w:ascii="Times New Roman" w:hAnsi="Times New Roman"/>
          <w:sz w:val="20"/>
          <w:u w:val="single"/>
        </w:rPr>
        <w:t>Automatic Termination of Offering Period</w:t>
      </w:r>
      <w:r>
        <w:rPr>
          <w:rFonts w:ascii="Times New Roman" w:hAnsi="Times New Roman"/>
          <w:sz w:val="20"/>
        </w:rPr>
        <w:t xml:space="preserve">.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4.5 </w:t>
      </w:r>
      <w:r>
        <w:rPr>
          <w:rFonts w:ascii="Times New Roman" w:hAnsi="Times New Roman"/>
          <w:sz w:val="20"/>
          <w:u w:val="single"/>
        </w:rPr>
        <w:t>Transferability of Rights</w:t>
      </w:r>
      <w:r>
        <w:rPr>
          <w:rFonts w:ascii="Times New Roman" w:hAnsi="Times New Roman"/>
          <w:sz w:val="20"/>
        </w:rPr>
        <w:t xml:space="preserve">.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PROVISIONS RELATING TO COMMON STOCK </w:t>
      </w:r>
    </w:p>
    <w:p>
      <w:pPr>
        <w:pStyle w:val="TextBody"/>
        <w:bidi w:val="0"/>
        <w:spacing w:before="240" w:after="0"/>
        <w:jc w:val="both"/>
        <w:rPr>
          <w:rFonts w:ascii="Times New Roman" w:hAnsi="Times New Roman"/>
          <w:sz w:val="20"/>
        </w:rPr>
      </w:pPr>
      <w:r>
        <w:rPr>
          <w:rFonts w:ascii="Times New Roman" w:hAnsi="Times New Roman"/>
          <w:sz w:val="20"/>
        </w:rPr>
        <w:t xml:space="preserve">5.1 </w:t>
      </w:r>
      <w:r>
        <w:rPr>
          <w:rFonts w:ascii="Times New Roman" w:hAnsi="Times New Roman"/>
          <w:sz w:val="20"/>
          <w:u w:val="single"/>
        </w:rPr>
        <w:t>Common Stock Reserved</w:t>
      </w:r>
      <w:r>
        <w:rPr>
          <w:rFonts w:ascii="Times New Roman" w:hAnsi="Times New Roman"/>
          <w:sz w:val="20"/>
        </w:rPr>
        <w:t xml:space="preserve">. Subject to adjustment as provided in Section 5.2 hereof, the maximum number of shares of Common Stock that shall be made available for sale under the Plan shall be 2,695,000 shares. Shares made available for sale under the Plan may be authorized but unissued shares, treasury shares of Common Stock, or reacquired shares reserved for issuance under the Plan. </w:t>
      </w:r>
    </w:p>
    <w:p>
      <w:pPr>
        <w:pStyle w:val="TextBody"/>
        <w:bidi w:val="0"/>
        <w:spacing w:before="240" w:after="0"/>
        <w:jc w:val="both"/>
        <w:rPr>
          <w:rFonts w:ascii="Times New Roman" w:hAnsi="Times New Roman"/>
          <w:sz w:val="20"/>
        </w:rPr>
      </w:pPr>
      <w:r>
        <w:rPr>
          <w:rFonts w:ascii="Times New Roman" w:hAnsi="Times New Roman"/>
          <w:sz w:val="20"/>
        </w:rPr>
        <w:t xml:space="preserve">5.2 </w:t>
      </w:r>
      <w:r>
        <w:rPr>
          <w:rFonts w:ascii="Times New Roman" w:hAnsi="Times New Roman"/>
          <w:sz w:val="20"/>
          <w:u w:val="single"/>
        </w:rPr>
        <w:t>Adjustments Upon Changes in Capitalization, Dissolution, Liquidation, Merger or Asset Sale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Changes in Capitalization</w:t>
      </w:r>
      <w:r>
        <w:rPr>
          <w:rFonts w:ascii="Times New Roman" w:hAnsi="Times New Roman"/>
          <w:sz w:val="20"/>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Dissolution or Liquidation</w:t>
      </w:r>
      <w:r>
        <w:rPr>
          <w:rFonts w:ascii="Times New Roman" w:hAnsi="Times New Roman"/>
          <w:sz w:val="20"/>
        </w:rPr>
        <w:t>. In the event of the proposed dissolution or liquidation of the Company, the Offering Periods then in progress shall be shortened by setting a new Exercise Date (the </w:t>
      </w:r>
      <w:r>
        <w:rPr>
          <w:rFonts w:ascii="Times New Roman" w:hAnsi="Times New Roman"/>
          <w:b/>
          <w:i/>
          <w:sz w:val="20"/>
        </w:rPr>
        <w:t>New Exercise Date</w:t>
      </w:r>
      <w:r>
        <w:rPr>
          <w:rFonts w:ascii="Times New Roman" w:hAnsi="Times New Roman"/>
          <w:sz w:val="20"/>
        </w:rPr>
        <w:t xml:space="preserve">),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or Asset Sale</w:t>
      </w:r>
      <w:r>
        <w:rPr>
          <w:rFonts w:ascii="Times New Roman" w:hAnsi="Times New Roman"/>
          <w:sz w:val="20"/>
        </w:rPr>
        <w:t xml:space="preserv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 </w:t>
      </w:r>
    </w:p>
    <w:p>
      <w:pPr>
        <w:pStyle w:val="TextBody"/>
        <w:bidi w:val="0"/>
        <w:spacing w:before="240" w:after="0"/>
        <w:jc w:val="both"/>
        <w:rPr>
          <w:rFonts w:ascii="Times New Roman" w:hAnsi="Times New Roman"/>
          <w:sz w:val="20"/>
        </w:rPr>
      </w:pPr>
      <w:r>
        <w:rPr>
          <w:rFonts w:ascii="Times New Roman" w:hAnsi="Times New Roman"/>
          <w:sz w:val="20"/>
        </w:rPr>
        <w:t xml:space="preserve">5.3 </w:t>
      </w:r>
      <w:r>
        <w:rPr>
          <w:rFonts w:ascii="Times New Roman" w:hAnsi="Times New Roman"/>
          <w:sz w:val="20"/>
          <w:u w:val="single"/>
        </w:rPr>
        <w:t>Insufficient Shares</w:t>
      </w:r>
      <w:r>
        <w:rPr>
          <w:rFonts w:ascii="Times New Roman" w:hAnsi="Times New Roman"/>
          <w:sz w:val="20"/>
        </w:rPr>
        <w:t xml:space="preserve">.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 </w:t>
      </w:r>
    </w:p>
    <w:p>
      <w:pPr>
        <w:pStyle w:val="TextBody"/>
        <w:bidi w:val="0"/>
        <w:spacing w:before="240" w:after="0"/>
        <w:jc w:val="both"/>
        <w:rPr>
          <w:rFonts w:ascii="Times New Roman" w:hAnsi="Times New Roman"/>
          <w:sz w:val="20"/>
        </w:rPr>
      </w:pPr>
      <w:r>
        <w:rPr>
          <w:rFonts w:ascii="Times New Roman" w:hAnsi="Times New Roman"/>
          <w:sz w:val="20"/>
        </w:rPr>
        <w:t xml:space="preserve">5.4 </w:t>
      </w:r>
      <w:r>
        <w:rPr>
          <w:rFonts w:ascii="Times New Roman" w:hAnsi="Times New Roman"/>
          <w:sz w:val="20"/>
          <w:u w:val="single"/>
        </w:rPr>
        <w:t>Rights as Stockholders</w:t>
      </w:r>
      <w:r>
        <w:rPr>
          <w:rFonts w:ascii="Times New Roman" w:hAnsi="Times New Roman"/>
          <w:sz w:val="20"/>
        </w:rPr>
        <w:t xml:space="preserve">.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OF PARTICIPATION </w:t>
      </w:r>
    </w:p>
    <w:p>
      <w:pPr>
        <w:pStyle w:val="TextBody"/>
        <w:bidi w:val="0"/>
        <w:spacing w:before="240" w:after="0"/>
        <w:jc w:val="both"/>
        <w:rPr>
          <w:rFonts w:ascii="Times New Roman" w:hAnsi="Times New Roman"/>
          <w:sz w:val="20"/>
        </w:rPr>
      </w:pPr>
      <w:r>
        <w:rPr>
          <w:rFonts w:ascii="Times New Roman" w:hAnsi="Times New Roman"/>
          <w:sz w:val="20"/>
        </w:rPr>
        <w:t xml:space="preserve">6.1 </w:t>
      </w:r>
      <w:r>
        <w:rPr>
          <w:rFonts w:ascii="Times New Roman" w:hAnsi="Times New Roman"/>
          <w:sz w:val="20"/>
          <w:u w:val="single"/>
        </w:rPr>
        <w:t>Cessation of Contributions; Voluntary Withdrawal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 w:hAnsi="Times New Roman"/>
          <w:b/>
          <w:i/>
          <w:sz w:val="20"/>
        </w:rPr>
        <w:t>Withdrawal Election</w:t>
      </w:r>
      <w:r>
        <w:rPr>
          <w:rFonts w:ascii="Times New Roman" w:hAnsi="Times New Roman"/>
          <w:sz w:val="20"/>
        </w:rPr>
        <w:t xml:space="preserve">).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Upon receipt of a Withdrawal Election, the Participants payroll deduction authorization and the Participants Option shall terminate. </w:t>
      </w:r>
    </w:p>
    <w:p>
      <w:pPr>
        <w:pStyle w:val="TextBody"/>
        <w:bidi w:val="0"/>
        <w:spacing w:before="240" w:after="0"/>
        <w:jc w:val="both"/>
        <w:rPr>
          <w:rFonts w:ascii="Times New Roman" w:hAnsi="Times New Roman"/>
          <w:sz w:val="20"/>
        </w:rPr>
      </w:pPr>
      <w:r>
        <w:rPr>
          <w:rFonts w:ascii="Times New Roman" w:hAnsi="Times New Roman"/>
          <w:sz w:val="20"/>
        </w:rPr>
        <w:t xml:space="preserve">(b) 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 </w:t>
      </w:r>
    </w:p>
    <w:p>
      <w:pPr>
        <w:pStyle w:val="TextBody"/>
        <w:bidi w:val="0"/>
        <w:spacing w:before="240" w:after="0"/>
        <w:jc w:val="both"/>
        <w:rPr>
          <w:rFonts w:ascii="Times New Roman" w:hAnsi="Times New Roman"/>
          <w:sz w:val="20"/>
        </w:rPr>
      </w:pPr>
      <w:r>
        <w:rPr>
          <w:rFonts w:ascii="Times New Roman" w:hAnsi="Times New Roman"/>
          <w:sz w:val="20"/>
        </w:rPr>
        <w:t xml:space="preserve">(c) A Participant who ceases contributions to the Plan during any Offering Period shall not be permitted to resume contributions to the Plan during that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6.2 </w:t>
      </w:r>
      <w:r>
        <w:rPr>
          <w:rFonts w:ascii="Times New Roman" w:hAnsi="Times New Roman"/>
          <w:sz w:val="20"/>
          <w:u w:val="single"/>
        </w:rPr>
        <w:t>Termination of Eligibility</w:t>
      </w:r>
      <w:r>
        <w:rPr>
          <w:rFonts w:ascii="Times New Roman" w:hAnsi="Times New Roman"/>
          <w:sz w:val="20"/>
        </w:rPr>
        <w:t xml:space="preserve">. Upon a Participants ceasing to be an Eligible Employee or Eligible Consultant,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within 30 days after such cessation of being an Eligible Employee or Eligible Consultant,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both"/>
        <w:rPr>
          <w:rFonts w:ascii="Times New Roman" w:hAnsi="Times New Roman"/>
          <w:sz w:val="20"/>
        </w:rPr>
      </w:pPr>
      <w:r>
        <w:rPr>
          <w:rFonts w:ascii="Times New Roman" w:hAnsi="Times New Roman"/>
          <w:sz w:val="20"/>
        </w:rPr>
        <w:t xml:space="preserve">7.1 </w:t>
      </w:r>
      <w:r>
        <w:rPr>
          <w:rFonts w:ascii="Times New Roman" w:hAnsi="Times New Roman"/>
          <w:sz w:val="20"/>
          <w:u w:val="single"/>
        </w:rPr>
        <w:t>Administration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 </w:t>
      </w:r>
    </w:p>
    <w:p>
      <w:pPr>
        <w:pStyle w:val="TextBody"/>
        <w:bidi w:val="0"/>
        <w:spacing w:before="240" w:after="0"/>
        <w:jc w:val="both"/>
        <w:rPr>
          <w:rFonts w:ascii="Times New Roman" w:hAnsi="Times New Roman"/>
          <w:sz w:val="20"/>
        </w:rPr>
      </w:pPr>
      <w:r>
        <w:rPr>
          <w:rFonts w:ascii="Times New Roman" w:hAnsi="Times New Roman"/>
          <w:sz w:val="20"/>
        </w:rPr>
        <w:t xml:space="preserve">(b) It shall be the duty of the Administrator to conduct the general administration of the Plan in accordance with the provisions of the Plan. The Administrator shall have the power, subject to, and within the limitations of, the express provisions of the Plan: </w:t>
      </w:r>
    </w:p>
    <w:p>
      <w:pPr>
        <w:pStyle w:val="TextBody"/>
        <w:bidi w:val="0"/>
        <w:spacing w:before="240" w:after="0"/>
        <w:jc w:val="both"/>
        <w:rPr>
          <w:rFonts w:ascii="Times New Roman" w:hAnsi="Times New Roman"/>
          <w:sz w:val="20"/>
        </w:rPr>
      </w:pPr>
      <w:r>
        <w:rPr>
          <w:rFonts w:ascii="Times New Roman" w:hAnsi="Times New Roman"/>
          <w:sz w:val="20"/>
        </w:rPr>
        <w:t xml:space="preserve">(i) To establish and terminate Offerings; </w:t>
      </w:r>
    </w:p>
    <w:p>
      <w:pPr>
        <w:pStyle w:val="TextBody"/>
        <w:bidi w:val="0"/>
        <w:spacing w:before="240" w:after="0"/>
        <w:jc w:val="both"/>
        <w:rPr>
          <w:rFonts w:ascii="Times New Roman" w:hAnsi="Times New Roman"/>
          <w:sz w:val="20"/>
        </w:rPr>
      </w:pPr>
      <w:r>
        <w:rPr>
          <w:rFonts w:ascii="Times New Roman" w:hAnsi="Times New Roman"/>
          <w:sz w:val="20"/>
        </w:rPr>
        <w:t xml:space="preserve">(ii) To determine when and how Options shall be granted and the provisions and terms of each Offering (which need not be identical); </w:t>
      </w:r>
    </w:p>
    <w:p>
      <w:pPr>
        <w:pStyle w:val="TextBody"/>
        <w:bidi w:val="0"/>
        <w:spacing w:before="240" w:after="0"/>
        <w:jc w:val="both"/>
        <w:rPr>
          <w:rFonts w:ascii="Times New Roman" w:hAnsi="Times New Roman"/>
          <w:sz w:val="20"/>
        </w:rPr>
      </w:pPr>
      <w:r>
        <w:rPr>
          <w:rFonts w:ascii="Times New Roman" w:hAnsi="Times New Roman"/>
          <w:sz w:val="20"/>
        </w:rPr>
        <w:t xml:space="preserve">(iii) To select Designated Subsidiaries in accordance with Section 7.2 hereof; and </w:t>
      </w:r>
    </w:p>
    <w:p>
      <w:pPr>
        <w:pStyle w:val="TextBody"/>
        <w:bidi w:val="0"/>
        <w:spacing w:before="240" w:after="0"/>
        <w:jc w:val="both"/>
        <w:rPr>
          <w:rFonts w:ascii="Times New Roman" w:hAnsi="Times New Roman"/>
          <w:sz w:val="20"/>
        </w:rPr>
      </w:pPr>
      <w:r>
        <w:rPr>
          <w:rFonts w:ascii="Times New Roman" w:hAnsi="Times New Roman"/>
          <w:sz w:val="20"/>
        </w:rPr>
        <w:t xml:space="preserve">(iv) 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(c) 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 </w:t>
      </w:r>
    </w:p>
    <w:p>
      <w:pPr>
        <w:pStyle w:val="TextBody"/>
        <w:bidi w:val="0"/>
        <w:spacing w:before="240" w:after="0"/>
        <w:jc w:val="both"/>
        <w:rPr>
          <w:rFonts w:ascii="Times New Roman" w:hAnsi="Times New Roman"/>
          <w:sz w:val="20"/>
        </w:rPr>
      </w:pPr>
      <w:r>
        <w:rPr>
          <w:rFonts w:ascii="Times New Roman" w:hAnsi="Times New Roman"/>
          <w:sz w:val="20"/>
        </w:rPr>
        <w:t xml:space="preserve">(d)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 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w:t>
      </w:r>
    </w:p>
    <w:p>
      <w:pPr>
        <w:pStyle w:val="TextBody"/>
        <w:bidi w:val="0"/>
        <w:spacing w:before="240" w:after="0"/>
        <w:jc w:val="both"/>
        <w:rPr>
          <w:rFonts w:ascii="Times New Roman" w:hAnsi="Times New Roman"/>
          <w:sz w:val="20"/>
        </w:rPr>
      </w:pPr>
      <w:r>
        <w:rPr>
          <w:rFonts w:ascii="Times New Roman" w:hAnsi="Times New Roman"/>
          <w:sz w:val="20"/>
        </w:rPr>
        <w:t xml:space="preserve">7.2 </w:t>
      </w:r>
      <w:r>
        <w:rPr>
          <w:rFonts w:ascii="Times New Roman" w:hAnsi="Times New Roman"/>
          <w:sz w:val="20"/>
          <w:u w:val="single"/>
        </w:rPr>
        <w:t>Designation of Subsidiary Corporations</w:t>
      </w:r>
      <w:r>
        <w:rPr>
          <w:rFonts w:ascii="Times New Roman" w:hAnsi="Times New Roman"/>
          <w:sz w:val="20"/>
        </w:rPr>
        <w:t xml:space="preserve">.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7.3 </w:t>
      </w:r>
      <w:r>
        <w:rPr>
          <w:rFonts w:ascii="Times New Roman" w:hAnsi="Times New Roman"/>
          <w:sz w:val="20"/>
          <w:u w:val="single"/>
        </w:rPr>
        <w:t>Reports</w:t>
      </w:r>
      <w:r>
        <w:rPr>
          <w:rFonts w:ascii="Times New Roman" w:hAnsi="Times New Roman"/>
          <w:sz w:val="20"/>
        </w:rPr>
        <w:t xml:space="preserve">.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 </w:t>
      </w:r>
    </w:p>
    <w:p>
      <w:pPr>
        <w:pStyle w:val="TextBody"/>
        <w:bidi w:val="0"/>
        <w:spacing w:before="240" w:after="0"/>
        <w:jc w:val="both"/>
        <w:rPr>
          <w:rFonts w:ascii="Times New Roman" w:hAnsi="Times New Roman"/>
          <w:sz w:val="20"/>
        </w:rPr>
      </w:pPr>
      <w:r>
        <w:rPr>
          <w:rFonts w:ascii="Times New Roman" w:hAnsi="Times New Roman"/>
          <w:sz w:val="20"/>
        </w:rPr>
        <w:t xml:space="preserve">7.4 </w:t>
      </w:r>
      <w:r>
        <w:rPr>
          <w:rFonts w:ascii="Times New Roman" w:hAnsi="Times New Roman"/>
          <w:sz w:val="20"/>
          <w:u w:val="single"/>
        </w:rPr>
        <w:t>No Right to Employment</w:t>
      </w:r>
      <w:r>
        <w:rPr>
          <w:rFonts w:ascii="Times New Roman" w:hAnsi="Times New Roman"/>
          <w:sz w:val="20"/>
        </w:rPr>
        <w:t xml:space="preserve">.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 </w:t>
      </w:r>
    </w:p>
    <w:p>
      <w:pPr>
        <w:pStyle w:val="TextBody"/>
        <w:bidi w:val="0"/>
        <w:spacing w:before="240" w:after="0"/>
        <w:jc w:val="both"/>
        <w:rPr>
          <w:rFonts w:ascii="Times New Roman" w:hAnsi="Times New Roman"/>
          <w:sz w:val="20"/>
        </w:rPr>
      </w:pPr>
      <w:r>
        <w:rPr>
          <w:rFonts w:ascii="Times New Roman" w:hAnsi="Times New Roman"/>
          <w:sz w:val="20"/>
        </w:rPr>
        <w:t xml:space="preserve">7.5 </w:t>
      </w:r>
      <w:r>
        <w:rPr>
          <w:rFonts w:ascii="Times New Roman" w:hAnsi="Times New Roman"/>
          <w:sz w:val="20"/>
          <w:u w:val="single"/>
        </w:rPr>
        <w:t>Amendment and Termination of the Plan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 </w:t>
      </w:r>
    </w:p>
    <w:p>
      <w:pPr>
        <w:pStyle w:val="TextBody"/>
        <w:bidi w:val="0"/>
        <w:spacing w:before="240" w:after="0"/>
        <w:jc w:val="both"/>
        <w:rPr>
          <w:rFonts w:ascii="Times New Roman" w:hAnsi="Times New Roman"/>
          <w:sz w:val="20"/>
        </w:rPr>
      </w:pPr>
      <w:r>
        <w:rPr>
          <w:rFonts w:ascii="Times New Roman" w:hAnsi="Times New Roman"/>
          <w:sz w:val="20"/>
        </w:rPr>
        <w:t xml:space="preserve">(b) If the Administrator determines that the ongoing operation of the Plan may result in unfavorable financial accounting consequences, the Administrator may in its discretion modify or amend the Plan to reduce or eliminate such accounting consequence including, but not limited to: </w:t>
      </w:r>
    </w:p>
    <w:p>
      <w:pPr>
        <w:pStyle w:val="TextBody"/>
        <w:bidi w:val="0"/>
        <w:spacing w:before="240" w:after="0"/>
        <w:jc w:val="both"/>
        <w:rPr>
          <w:rFonts w:ascii="Times New Roman" w:hAnsi="Times New Roman"/>
          <w:sz w:val="20"/>
        </w:rPr>
      </w:pPr>
      <w:r>
        <w:rPr>
          <w:rFonts w:ascii="Times New Roman" w:hAnsi="Times New Roman"/>
          <w:sz w:val="20"/>
        </w:rPr>
        <w:t xml:space="preserve">(i) altering the Option Price for any Offering Period including an Offering Period underway at the time of the change in Option Price; </w:t>
      </w:r>
    </w:p>
    <w:p>
      <w:pPr>
        <w:pStyle w:val="TextBody"/>
        <w:bidi w:val="0"/>
        <w:spacing w:before="240" w:after="0"/>
        <w:jc w:val="both"/>
        <w:rPr>
          <w:rFonts w:ascii="Times New Roman" w:hAnsi="Times New Roman"/>
          <w:sz w:val="20"/>
        </w:rPr>
      </w:pPr>
      <w:r>
        <w:rPr>
          <w:rFonts w:ascii="Times New Roman" w:hAnsi="Times New Roman"/>
          <w:sz w:val="20"/>
        </w:rPr>
        <w:t xml:space="preserve">(ii) shortening any Offering Period so that the Offering Period ends on a new Exercise Date, including an Offering Period underway at the time of the Administrator action; and </w:t>
      </w:r>
    </w:p>
    <w:p>
      <w:pPr>
        <w:pStyle w:val="TextBody"/>
        <w:bidi w:val="0"/>
        <w:spacing w:before="120" w:after="0"/>
        <w:jc w:val="both"/>
        <w:rPr>
          <w:rFonts w:ascii="Times New Roman" w:hAnsi="Times New Roman"/>
          <w:sz w:val="20"/>
        </w:rPr>
      </w:pPr>
      <w:r>
        <w:rPr>
          <w:rFonts w:ascii="Times New Roman" w:hAnsi="Times New Roman"/>
          <w:sz w:val="20"/>
        </w:rPr>
        <w:t xml:space="preserve">(iii) allocating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Such modifications or amendments shall not require stockholder approval or the consent of any Participant. </w:t>
      </w:r>
    </w:p>
    <w:p>
      <w:pPr>
        <w:pStyle w:val="TextBody"/>
        <w:bidi w:val="0"/>
        <w:spacing w:before="240" w:after="0"/>
        <w:jc w:val="both"/>
        <w:rPr>
          <w:rFonts w:ascii="Times New Roman" w:hAnsi="Times New Roman"/>
          <w:sz w:val="20"/>
        </w:rPr>
      </w:pPr>
      <w:r>
        <w:rPr>
          <w:rFonts w:ascii="Times New Roman" w:hAnsi="Times New Roman"/>
          <w:sz w:val="20"/>
        </w:rPr>
        <w:t xml:space="preserve">(c) Upon termination of the Plan, the balance in each Participants Plan Account shall be refunded as soon as practicable after such termination, without any interest thereon. </w:t>
      </w:r>
    </w:p>
    <w:p>
      <w:pPr>
        <w:pStyle w:val="TextBody"/>
        <w:bidi w:val="0"/>
        <w:spacing w:before="240" w:after="0"/>
        <w:jc w:val="both"/>
        <w:rPr>
          <w:rFonts w:ascii="Times New Roman" w:hAnsi="Times New Roman"/>
          <w:sz w:val="20"/>
        </w:rPr>
      </w:pPr>
      <w:r>
        <w:rPr>
          <w:rFonts w:ascii="Times New Roman" w:hAnsi="Times New Roman"/>
          <w:sz w:val="20"/>
        </w:rPr>
        <w:t xml:space="preserve">7.6 </w:t>
      </w:r>
      <w:r>
        <w:rPr>
          <w:rFonts w:ascii="Times New Roman" w:hAnsi="Times New Roman"/>
          <w:sz w:val="20"/>
          <w:u w:val="single"/>
        </w:rPr>
        <w:t>Use of Funds; No Interest Paid</w:t>
      </w:r>
      <w:r>
        <w:rPr>
          <w:rFonts w:ascii="Times New Roman" w:hAnsi="Times New Roman"/>
          <w:sz w:val="20"/>
        </w:rPr>
        <w:t xml:space="preserve">. All funds received by the Company by reason of purchase of shares of Common Stock under the Plan shall be included in the general funds of the Company free of any trust or other restriction and may be used for any corporate purpose. No interest shall be paid to any Participant or credited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7.7 </w:t>
      </w:r>
      <w:r>
        <w:rPr>
          <w:rFonts w:ascii="Times New Roman" w:hAnsi="Times New Roman"/>
          <w:sz w:val="20"/>
          <w:u w:val="single"/>
        </w:rPr>
        <w:t>Term; Approval by Stockholders</w:t>
      </w:r>
      <w:r>
        <w:rPr>
          <w:rFonts w:ascii="Times New Roman" w:hAnsi="Times New Roman"/>
          <w:sz w:val="20"/>
        </w:rPr>
        <w:t>. No Option may be granted during any period of suspension of the Plan or after termination of the Plan. This Plan shall be effective on the date it is approved by the Board (the </w:t>
      </w:r>
      <w:r>
        <w:rPr>
          <w:rFonts w:ascii="Times New Roman" w:hAnsi="Times New Roman"/>
          <w:b/>
          <w:i/>
          <w:sz w:val="20"/>
        </w:rPr>
        <w:t>Restatement Effective Date</w:t>
      </w:r>
      <w:r>
        <w:rPr>
          <w:rFonts w:ascii="Times New Roman" w:hAnsi="Times New Roman"/>
          <w:sz w:val="20"/>
        </w:rPr>
        <w:t xml:space="preserve">.) This Plan shall be submitted for the approval of the Companys stockholders within 12 months after the Restatement Effective Date. No rights under this Plan shall be exercised, and no shares of Common Stock shall be issued hereunder, until this Plan shall have been approved by the stockholders of the Company. If this Plan is not approved by the Companys stockholders within twelve (12) months following the Restatement Effective Date, all rights granted under this Plan shall be canceled and become null and void without being exercised, and the Prior Plan will continue in full force and effect on its terms and conditions in effect immediately prior to the Restatement Effective Date. </w:t>
      </w:r>
    </w:p>
    <w:p>
      <w:pPr>
        <w:pStyle w:val="TextBody"/>
        <w:bidi w:val="0"/>
        <w:spacing w:before="240" w:after="0"/>
        <w:jc w:val="both"/>
        <w:rPr>
          <w:rFonts w:ascii="Times New Roman" w:hAnsi="Times New Roman"/>
          <w:sz w:val="20"/>
        </w:rPr>
      </w:pPr>
      <w:r>
        <w:rPr>
          <w:rFonts w:ascii="Times New Roman" w:hAnsi="Times New Roman"/>
          <w:sz w:val="20"/>
        </w:rPr>
        <w:t xml:space="preserve">7.8 </w:t>
      </w:r>
      <w:r>
        <w:rPr>
          <w:rFonts w:ascii="Times New Roman" w:hAnsi="Times New Roman"/>
          <w:sz w:val="20"/>
          <w:u w:val="single"/>
        </w:rPr>
        <w:t>Effect Upon Other Plans</w:t>
      </w:r>
      <w:r>
        <w:rPr>
          <w:rFonts w:ascii="Times New Roman" w:hAnsi="Times New Roman"/>
          <w:sz w:val="20"/>
        </w:rPr>
        <w:t xml:space="preserve">.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 </w:t>
      </w:r>
    </w:p>
    <w:p>
      <w:pPr>
        <w:pStyle w:val="TextBody"/>
        <w:bidi w:val="0"/>
        <w:spacing w:before="240" w:after="0"/>
        <w:jc w:val="both"/>
        <w:rPr>
          <w:rFonts w:ascii="Times New Roman" w:hAnsi="Times New Roman"/>
          <w:sz w:val="20"/>
        </w:rPr>
      </w:pPr>
      <w:r>
        <w:rPr>
          <w:rFonts w:ascii="Times New Roman" w:hAnsi="Times New Roman"/>
          <w:sz w:val="20"/>
        </w:rPr>
        <w:t xml:space="preserve">7.9 </w:t>
      </w:r>
      <w:r>
        <w:rPr>
          <w:rFonts w:ascii="Times New Roman" w:hAnsi="Times New Roman"/>
          <w:sz w:val="20"/>
          <w:u w:val="single"/>
        </w:rPr>
        <w:t>Conformity to Securities Laws</w:t>
      </w:r>
      <w:r>
        <w:rPr>
          <w:rFonts w:ascii="Times New Roman" w:hAnsi="Times New Roman"/>
          <w:sz w:val="20"/>
        </w:rPr>
        <w:t xml:space="preserve">.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 </w:t>
      </w:r>
    </w:p>
    <w:p>
      <w:pPr>
        <w:pStyle w:val="TextBody"/>
        <w:bidi w:val="0"/>
        <w:spacing w:before="240" w:after="0"/>
        <w:jc w:val="both"/>
        <w:rPr>
          <w:rFonts w:ascii="Times New Roman" w:hAnsi="Times New Roman"/>
          <w:sz w:val="20"/>
        </w:rPr>
      </w:pPr>
      <w:r>
        <w:rPr>
          <w:rFonts w:ascii="Times New Roman" w:hAnsi="Times New Roman"/>
          <w:sz w:val="20"/>
        </w:rPr>
        <w:t xml:space="preserve">7.10 </w:t>
      </w:r>
      <w:r>
        <w:rPr>
          <w:rFonts w:ascii="Times New Roman" w:hAnsi="Times New Roman"/>
          <w:sz w:val="20"/>
          <w:u w:val="single"/>
        </w:rPr>
        <w:t>Notice of Disposition of Shares</w:t>
      </w:r>
      <w:r>
        <w:rPr>
          <w:rFonts w:ascii="Times New Roman" w:hAnsi="Times New Roman"/>
          <w:sz w:val="20"/>
        </w:rPr>
        <w:t xml:space="preserve">. Each Participant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 </w:t>
      </w:r>
    </w:p>
    <w:p>
      <w:pPr>
        <w:pStyle w:val="TextBody"/>
        <w:bidi w:val="0"/>
        <w:spacing w:before="240" w:after="0"/>
        <w:jc w:val="both"/>
        <w:rPr>
          <w:rFonts w:ascii="Times New Roman" w:hAnsi="Times New Roman"/>
          <w:sz w:val="20"/>
        </w:rPr>
      </w:pPr>
      <w:r>
        <w:rPr>
          <w:rFonts w:ascii="Times New Roman" w:hAnsi="Times New Roman"/>
          <w:sz w:val="20"/>
        </w:rPr>
        <w:t xml:space="preserve">7.11 </w:t>
      </w:r>
      <w:r>
        <w:rPr>
          <w:rFonts w:ascii="Times New Roman" w:hAnsi="Times New Roman"/>
          <w:sz w:val="20"/>
          <w:u w:val="single"/>
        </w:rPr>
        <w:t>Tax Withholding</w:t>
      </w:r>
      <w:r>
        <w:rPr>
          <w:rFonts w:ascii="Times New Roman" w:hAnsi="Times New Roman"/>
          <w:sz w:val="20"/>
        </w:rPr>
        <w:t xml:space="preserve">.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 </w:t>
      </w:r>
    </w:p>
    <w:p>
      <w:pPr>
        <w:pStyle w:val="TextBody"/>
        <w:bidi w:val="0"/>
        <w:spacing w:before="240" w:after="0"/>
        <w:jc w:val="both"/>
        <w:rPr>
          <w:rFonts w:ascii="Times New Roman" w:hAnsi="Times New Roman"/>
          <w:sz w:val="20"/>
        </w:rPr>
      </w:pPr>
      <w:r>
        <w:rPr>
          <w:rFonts w:ascii="Times New Roman" w:hAnsi="Times New Roman"/>
          <w:sz w:val="20"/>
        </w:rPr>
        <w:t xml:space="preserve">7.12 </w:t>
      </w:r>
      <w:r>
        <w:rPr>
          <w:rFonts w:ascii="Times New Roman" w:hAnsi="Times New Roman"/>
          <w:sz w:val="20"/>
          <w:u w:val="single"/>
        </w:rPr>
        <w:t>Governing Law</w:t>
      </w:r>
      <w:r>
        <w:rPr>
          <w:rFonts w:ascii="Times New Roman" w:hAnsi="Times New Roman"/>
          <w:sz w:val="20"/>
        </w:rPr>
        <w:t xml:space="preserve">. The Plan and all rights and obligations thereunder shall be construed and enforced in accordance with the laws of the State of Delaware, without regard to the conflict of law rules thereof or of any other jurisdiction. </w:t>
      </w:r>
    </w:p>
    <w:p>
      <w:pPr>
        <w:pStyle w:val="TextBody"/>
        <w:bidi w:val="0"/>
        <w:spacing w:before="240" w:after="0"/>
        <w:jc w:val="both"/>
        <w:rPr>
          <w:rFonts w:ascii="Times New Roman" w:hAnsi="Times New Roman"/>
          <w:sz w:val="20"/>
        </w:rPr>
      </w:pPr>
      <w:r>
        <w:rPr>
          <w:rFonts w:ascii="Times New Roman" w:hAnsi="Times New Roman"/>
          <w:sz w:val="20"/>
        </w:rPr>
        <w:t xml:space="preserve">7.13 </w:t>
      </w:r>
      <w:r>
        <w:rPr>
          <w:rFonts w:ascii="Times New Roman" w:hAnsi="Times New Roman"/>
          <w:sz w:val="20"/>
          <w:u w:val="single"/>
        </w:rPr>
        <w:t>Notices</w:t>
      </w:r>
      <w:r>
        <w:rPr>
          <w:rFonts w:ascii="Times New Roman" w:hAnsi="Times New Roman"/>
          <w:sz w:val="20"/>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TextBody"/>
        <w:bidi w:val="0"/>
        <w:spacing w:before="240" w:after="0"/>
        <w:jc w:val="both"/>
        <w:rPr>
          <w:rFonts w:ascii="Times New Roman" w:hAnsi="Times New Roman"/>
          <w:sz w:val="20"/>
        </w:rPr>
      </w:pPr>
      <w:r>
        <w:rPr>
          <w:rFonts w:ascii="Times New Roman" w:hAnsi="Times New Roman"/>
          <w:sz w:val="20"/>
        </w:rPr>
        <w:t xml:space="preserve">7.14 </w:t>
      </w:r>
      <w:r>
        <w:rPr>
          <w:rFonts w:ascii="Times New Roman" w:hAnsi="Times New Roman"/>
          <w:sz w:val="20"/>
          <w:u w:val="single"/>
        </w:rPr>
        <w:t>Conditions To Issuance of Shares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 </w:t>
      </w:r>
    </w:p>
    <w:p>
      <w:pPr>
        <w:pStyle w:val="TextBody"/>
        <w:bidi w:val="0"/>
        <w:spacing w:before="240" w:after="0"/>
        <w:jc w:val="both"/>
        <w:rPr>
          <w:rFonts w:ascii="Times New Roman" w:hAnsi="Times New Roman"/>
          <w:sz w:val="20"/>
        </w:rPr>
      </w:pPr>
      <w:r>
        <w:rPr>
          <w:rFonts w:ascii="Times New Roman" w:hAnsi="Times New Roman"/>
          <w:sz w:val="20"/>
        </w:rPr>
        <w:t xml:space="preserve">(b) 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(c) The Committee shall have the right to require any Participant to comply with any timing or other restrictions with respect to the settlement, distribution or exercise of any Option, including a window-period limitation, as may be imposed in the sole discretion of the Committee. </w:t>
      </w:r>
    </w:p>
    <w:p>
      <w:pPr>
        <w:pStyle w:val="TextBody"/>
        <w:bidi w:val="0"/>
        <w:spacing w:before="240" w:after="0"/>
        <w:jc w:val="both"/>
        <w:rPr>
          <w:rFonts w:ascii="Times New Roman" w:hAnsi="Times New Roman"/>
          <w:sz w:val="20"/>
        </w:rPr>
      </w:pPr>
      <w:r>
        <w:rPr>
          <w:rFonts w:ascii="Times New Roman" w:hAnsi="Times New Roman"/>
          <w:sz w:val="20"/>
        </w:rPr>
        <w:t xml:space="preserve">(d) 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 </w:t>
      </w:r>
    </w:p>
    <w:p>
      <w:pPr>
        <w:pStyle w:val="TextBody"/>
        <w:bidi w:val="0"/>
        <w:spacing w:before="240" w:after="0"/>
        <w:jc w:val="both"/>
        <w:rPr>
          <w:rFonts w:ascii="Times New Roman" w:hAnsi="Times New Roman"/>
          <w:sz w:val="20"/>
        </w:rPr>
      </w:pPr>
      <w:r>
        <w:rPr>
          <w:rFonts w:ascii="Times New Roman" w:hAnsi="Times New Roman"/>
          <w:sz w:val="20"/>
        </w:rPr>
        <w:t xml:space="preserve">7.15 </w:t>
      </w:r>
      <w:r>
        <w:rPr>
          <w:rFonts w:ascii="Times New Roman" w:hAnsi="Times New Roman"/>
          <w:sz w:val="20"/>
          <w:u w:val="single"/>
        </w:rPr>
        <w:t>Equal Rights and Privileges</w:t>
      </w:r>
      <w:r>
        <w:rPr>
          <w:rFonts w:ascii="Times New Roman" w:hAnsi="Times New Roman"/>
          <w:sz w:val="20"/>
        </w:rPr>
        <w:t xml:space="preserve">.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and Eligible Consultants participating in the Non-Section 423 Component need not have the same rights and privileges as Eligible Employees and Eligible Consultants participating in the Section 423 Component. </w:t>
      </w:r>
    </w:p>
    <w:p>
      <w:pPr>
        <w:pStyle w:val="TextBody"/>
        <w:bidi w:val="0"/>
        <w:spacing w:before="240" w:after="0"/>
        <w:jc w:val="both"/>
        <w:rPr>
          <w:rFonts w:ascii="Times New Roman" w:hAnsi="Times New Roman"/>
          <w:sz w:val="20"/>
        </w:rPr>
      </w:pPr>
      <w:r>
        <w:rPr>
          <w:rFonts w:ascii="Times New Roman" w:hAnsi="Times New Roman"/>
          <w:sz w:val="20"/>
        </w:rPr>
        <w:t xml:space="preserve">7.16 </w:t>
      </w:r>
      <w:r>
        <w:rPr>
          <w:rFonts w:ascii="Times New Roman" w:hAnsi="Times New Roman"/>
          <w:sz w:val="20"/>
          <w:u w:val="single"/>
        </w:rPr>
        <w:t>Rules Particular to Specific Countries</w:t>
      </w:r>
      <w:r>
        <w:rPr>
          <w:rFonts w:ascii="Times New Roman" w:hAnsi="Times New Roman"/>
          <w:sz w:val="20"/>
        </w:rPr>
        <w:t xml:space="preserve">.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w:t>
      </w:r>
    </w:p>
    <w:p>
      <w:pPr>
        <w:pStyle w:val="TextBody"/>
        <w:bidi w:val="0"/>
        <w:spacing w:before="240" w:after="0"/>
        <w:jc w:val="both"/>
        <w:rPr>
          <w:rFonts w:ascii="Times New Roman" w:hAnsi="Times New Roman"/>
          <w:sz w:val="20"/>
        </w:rPr>
      </w:pPr>
      <w:r>
        <w:rPr>
          <w:rFonts w:ascii="Times New Roman" w:hAnsi="Times New Roman"/>
          <w:sz w:val="20"/>
        </w:rPr>
        <w:t xml:space="preserve">7.17 </w:t>
      </w:r>
      <w:r>
        <w:rPr>
          <w:rFonts w:ascii="Times New Roman" w:hAnsi="Times New Roman"/>
          <w:sz w:val="20"/>
          <w:u w:val="single"/>
        </w:rPr>
        <w:t>Section 409A</w:t>
      </w:r>
      <w:r>
        <w:rPr>
          <w:rFonts w:ascii="Times New Roman" w:hAnsi="Times New Roman"/>
          <w:sz w:val="20"/>
        </w:rPr>
        <w:t xml:space="preserve">.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both"/>
        <w:rPr>
          <w:rFonts w:ascii="Times New Roman" w:hAnsi="Times New Roman"/>
          <w:sz w:val="20"/>
        </w:rPr>
      </w:pPr>
      <w:r>
        <w:rPr>
          <w:rFonts w:ascii="Times New Roman" w:hAnsi="Times New Roman"/>
          <w:sz w:val="20"/>
        </w:rPr>
        <w:t xml:space="preserve">I hereby certify that the foregoing Plan was adopted by the Board of Directors of Ouster, Inc. on April </w:t>
      </w:r>
      <w:r>
        <w:rPr>
          <w:rFonts w:ascii="Times New Roman" w:hAnsi="Times New Roman"/>
          <w:sz w:val="20"/>
          <w:u w:val="single"/>
        </w:rPr>
        <w:t> </w:t>
      </w:r>
      <w:r>
        <w:rPr>
          <w:rFonts w:ascii="Times New Roman" w:hAnsi="Times New Roman"/>
          <w:sz w:val="20"/>
        </w:rPr>
        <w:t xml:space="preserve">, 2024. </w:t>
      </w:r>
    </w:p>
    <w:p>
      <w:pPr>
        <w:pStyle w:val="TextBody"/>
        <w:bidi w:val="0"/>
        <w:spacing w:before="240" w:after="0"/>
        <w:jc w:val="both"/>
        <w:rPr>
          <w:rFonts w:ascii="Times New Roman" w:hAnsi="Times New Roman"/>
          <w:sz w:val="20"/>
        </w:rPr>
      </w:pPr>
      <w:r>
        <w:rPr>
          <w:rFonts w:ascii="Times New Roman" w:hAnsi="Times New Roman"/>
          <w:sz w:val="20"/>
        </w:rPr>
        <w:t xml:space="preserve">I hereby certify that the foregoing Plan was approved by the stockholders of Ouster, Inc. on </w:t>
      </w:r>
      <w:r>
        <w:rPr>
          <w:rFonts w:ascii="Times New Roman" w:hAnsi="Times New Roman"/>
          <w:sz w:val="20"/>
          <w:u w:val="single"/>
        </w:rPr>
        <w:t>    </w:t>
      </w:r>
      <w:r>
        <w:rPr>
          <w:rFonts w:ascii="Times New Roman" w:hAnsi="Times New Roman"/>
          <w:sz w:val="20"/>
        </w:rPr>
        <w:t xml:space="preserve">, 2024. </w:t>
      </w:r>
    </w:p>
    <w:p>
      <w:pPr>
        <w:pStyle w:val="TextBody"/>
        <w:bidi w:val="0"/>
        <w:spacing w:before="240" w:after="0"/>
        <w:jc w:val="both"/>
        <w:rPr>
          <w:rFonts w:ascii="Times New Roman" w:hAnsi="Times New Roman"/>
          <w:sz w:val="20"/>
        </w:rPr>
      </w:pPr>
      <w:r>
        <w:rPr>
          <w:rFonts w:ascii="Times New Roman" w:hAnsi="Times New Roman"/>
          <w:sz w:val="20"/>
        </w:rPr>
        <w:t xml:space="preserve">Executed on </w:t>
      </w:r>
      <w:r>
        <w:rPr>
          <w:rFonts w:ascii="Times New Roman" w:hAnsi="Times New Roman"/>
          <w:sz w:val="20"/>
          <w:u w:val="single"/>
        </w:rPr>
        <w:t>    </w:t>
      </w:r>
      <w:r>
        <w:rPr>
          <w:rFonts w:ascii="Times New Roman" w:hAnsi="Times New Roman"/>
          <w:sz w:val="20"/>
        </w:rPr>
        <w:t xml:space="preserve">,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right"/>
        <w:rPr>
          <w:rFonts w:ascii="Times New Roman" w:hAnsi="Times New Roman"/>
          <w:b/>
          <w:sz w:val="20"/>
          <w:u w:val="single"/>
        </w:rPr>
      </w:pPr>
      <w:bookmarkStart w:id="46" w:name="toc800696_45"/>
      <w:bookmarkEnd w:id="46"/>
      <w:r>
        <w:rPr>
          <w:rFonts w:ascii="Times New Roman" w:hAnsi="Times New Roman"/>
          <w:b/>
          <w:sz w:val="20"/>
          <w:u w:val="single"/>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VELODYNE LIDAR, INC. </w:t>
      </w:r>
    </w:p>
    <w:p>
      <w:pPr>
        <w:pStyle w:val="TextBody"/>
        <w:bidi w:val="0"/>
        <w:spacing w:before="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 INTRODUCTION. </w:t>
      </w:r>
    </w:p>
    <w:p>
      <w:pPr>
        <w:pStyle w:val="TextBody"/>
        <w:bidi w:val="0"/>
        <w:spacing w:before="120" w:after="0"/>
        <w:jc w:val="both"/>
        <w:rPr>
          <w:rFonts w:ascii="Times New Roman" w:hAnsi="Times New Roman"/>
          <w:sz w:val="20"/>
        </w:rPr>
      </w:pPr>
      <w:r>
        <w:rPr>
          <w:rFonts w:ascii="Times New Roman" w:hAnsi="Times New Roman"/>
          <w:sz w:val="20"/>
        </w:rPr>
        <w:t xml:space="preserve">The Board adopted the Plan to become effective immediately, although no Awards may be granted prior to the Business Combination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and Restricted Stock Units, any of which may be structured as performance-based awards. Capitalized terms used in this Plan are defined in Article 14. </w:t>
      </w:r>
    </w:p>
    <w:p>
      <w:pPr>
        <w:pStyle w:val="TextBody"/>
        <w:bidi w:val="0"/>
        <w:spacing w:before="360" w:after="0"/>
        <w:jc w:val="left"/>
        <w:rPr>
          <w:rFonts w:ascii="Times New Roman" w:hAnsi="Times New Roman"/>
          <w:b/>
          <w:sz w:val="20"/>
        </w:rPr>
      </w:pPr>
      <w:r>
        <w:rPr>
          <w:rFonts w:ascii="Times New Roman" w:hAnsi="Times New Roman"/>
          <w:b/>
          <w:sz w:val="20"/>
        </w:rPr>
        <w:t xml:space="preserve">ARTICLE 2. ADMINISTRATION. </w:t>
      </w:r>
    </w:p>
    <w:p>
      <w:pPr>
        <w:pStyle w:val="TextBody"/>
        <w:bidi w:val="0"/>
        <w:spacing w:before="120" w:after="0"/>
        <w:jc w:val="both"/>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Plan may be administered by the Board or one or more Committees to which the Board (or an authorized Board committee) has 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The Administrator shall comply with rules and regulations applicable to it, including under the rules of any exchange on which the Common Shares are traded, and shall have the authority and be responsible for such functions as have been assigned to it. </w:t>
      </w:r>
    </w:p>
    <w:p>
      <w:pPr>
        <w:pStyle w:val="TextBody"/>
        <w:bidi w:val="0"/>
        <w:spacing w:before="240" w:after="0"/>
        <w:jc w:val="both"/>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Section 16</w:t>
      </w:r>
      <w:r>
        <w:rPr>
          <w:rFonts w:ascii="Times New Roman" w:hAnsi="Times New Roman"/>
          <w:sz w:val="20"/>
        </w:rPr>
        <w:t xml:space="preserve">. To the extent desirable to qualify transactions hereunder as exempt under Exchange Act Rule 16b-3, the transactions contemplated hereunder will be approved by the entire Board or a Committee of two or more non-employee directors within the meaning of Exchange Act Rule 16b-3. </w:t>
      </w:r>
    </w:p>
    <w:p>
      <w:pPr>
        <w:pStyle w:val="TextBody"/>
        <w:bidi w:val="0"/>
        <w:spacing w:before="240" w:after="0"/>
        <w:jc w:val="both"/>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Powers of Administrator</w:t>
      </w:r>
      <w:r>
        <w:rPr>
          <w:rFonts w:ascii="Times New Roman" w:hAnsi="Times New Roman"/>
          <w:sz w:val="20"/>
        </w:rPr>
        <w:t xml:space="preserve">. Subject to the terms of the Plan, and in the case of a Committee, subject to the specific duties delegated to the Committee, the Administrator shall have the authority to (a) select the Service Providers who are to receive Awards under the Plan, (b) determine the type, number, vesting requirements and other features and conditions of such Awards, (c) interpret the Plan and Awards granted under the Plan, (d) make, amend and rescind rules relating to the Plan and Awards granted under the Plan, including rules relating to sub-plans established for the purposes of satisfying applicable foreign laws or for qualifying for favorable tax treatment under applicable foreign laws, (e)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(f) make all other decisions relating to the operation of the Plan and Awards granted under the Plan. In addition, with regard to the terms and conditions of Awards granted to Service Providers outside of the United States, the Administrator may vary from the provisions of the Plan to the extent it determines it necessary and appropriate to do so. </w:t>
      </w:r>
    </w:p>
    <w:p>
      <w:pPr>
        <w:pStyle w:val="TextBody"/>
        <w:bidi w:val="0"/>
        <w:spacing w:before="240" w:after="0"/>
        <w:jc w:val="both"/>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rPr>
        <w:t>Effect of Administrators Decisions</w:t>
      </w:r>
      <w:r>
        <w:rPr>
          <w:rFonts w:ascii="Times New Roman" w:hAnsi="Times New Roman"/>
          <w:sz w:val="20"/>
        </w:rPr>
        <w:t xml:space="preserve">. The Administrators decisions, determinations and interpretations shall be final and binding on all interested parties. </w:t>
      </w:r>
    </w:p>
    <w:p>
      <w:pPr>
        <w:pStyle w:val="TextBody"/>
        <w:bidi w:val="0"/>
        <w:spacing w:before="240" w:after="0"/>
        <w:jc w:val="both"/>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The Plan shall be governed by, and construed in accordance with, the laws of the State of Delaware (except its choice-of-law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ARTICLE 3. SHARES AVAILABLE FOR GRANTS. </w:t>
      </w:r>
    </w:p>
    <w:p>
      <w:pPr>
        <w:pStyle w:val="TextBody"/>
        <w:bidi w:val="0"/>
        <w:spacing w:before="120" w:after="0"/>
        <w:jc w:val="both"/>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Basic Limitation</w:t>
      </w:r>
      <w:r>
        <w:rPr>
          <w:rFonts w:ascii="Times New Roman" w:hAnsi="Times New Roman"/>
          <w:sz w:val="20"/>
        </w:rPr>
        <w:t xml:space="preserve">. Common Shares issued pursuant to the Plan may be authorized but unissued shares or treasury shares. The aggregate number of Common Shares issued under the Plan shall not exceed the sum of (a) 10,309,402 Common Shares, plus (b) up to 17,424,486 Common Shares, which is the approximate number of shares as of the Business Combination Date that will be subject to outstanding awards or that were issued under a Predecessor Plan and that will be cancelled thereunder and granted or issued hereunder on the Business Combination Date, and (c) the additional Common Shares described in Articles 3.2 and 3.3; provided, however, that no more than 27,733,888 Common Shares shall be added to the Plan pursuant to clauses (a) and (b). The number of Common Shares that are subject to Awards outstanding at any time under the Plan may not exceed the number of Common Shares that then remain available for issuance under the Plan. The numerical limitations in this Article 3.1 shall be subject to adjustment pursuant to Article 9. </w:t>
      </w:r>
    </w:p>
    <w:p>
      <w:pPr>
        <w:pStyle w:val="TextBody"/>
        <w:bidi w:val="0"/>
        <w:spacing w:before="240" w:after="0"/>
        <w:jc w:val="both"/>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Annual Increase in Shares</w:t>
      </w:r>
      <w:r>
        <w:rPr>
          <w:rFonts w:ascii="Times New Roman" w:hAnsi="Times New Roman"/>
          <w:sz w:val="20"/>
        </w:rPr>
        <w:t xml:space="preserve">. On the first day of each fiscal year of the Company during the term of the Plan, commencing on January 1, 2021 and ending on (and including) January 1, 2030, the aggregate number of Common Shares that may be issued under the Plan shall automatically increase by a number equal to the least of (a) 5% of the total number of Common Shares actually issued and outstanding on the last day of the preceding fiscal year, (b) 10,000,000 Common Shares (subject to adjustment pursuant to Article 9.1 below), or (c) a number of Common Shares determined by the Board. Notwithstanding the foregoing, the Board retains the right in its sole discretion to forego an increase for any fiscal year following an annual review by the Board of the share reserve of the Plan. </w:t>
      </w:r>
    </w:p>
    <w:p>
      <w:pPr>
        <w:pStyle w:val="TextBody"/>
        <w:bidi w:val="0"/>
        <w:spacing w:before="240" w:after="0"/>
        <w:jc w:val="both"/>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Shares Returned to Reserve</w:t>
      </w:r>
      <w:r>
        <w:rPr>
          <w:rFonts w:ascii="Times New Roman" w:hAnsi="Times New Roman"/>
          <w:sz w:val="20"/>
        </w:rPr>
        <w:t xml:space="preserve">. To the extent that Options, SARs, Restricted Stock Units or other Awards are forfeited, cancelled or expire for any reason before being exercised or settled in full, the Common Shares subject to such Awards shall again become available for issuance under the Plan. If SARs are exercised or Restricted Stock Units are settled, then only the number of Common Shares (if any) actually issued to the Participant upon exercise of such SARs or settlement of such Restricted Stock Units, as applicable, shall reduce the number of Common Shares available under Article 3.1 and the balance shall again become available for issuance under the Plan. If Restricted Shares or Common Shares issued upon the exercise of Options are reacquired by the Company pursuant to a forfeiture provision(including pursuant to Article 11.5), repurchase right or for any other reason, then such Common Shares shall again become available for issuance under the Plan. Common Shares applied to pay 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 </w:t>
      </w:r>
    </w:p>
    <w:p>
      <w:pPr>
        <w:pStyle w:val="TextBody"/>
        <w:bidi w:val="0"/>
        <w:spacing w:before="240" w:after="0"/>
        <w:jc w:val="both"/>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Awards Not Reducing Share Reserve</w:t>
      </w:r>
      <w:r>
        <w:rPr>
          <w:rFonts w:ascii="Times New Roman" w:hAnsi="Times New Roman"/>
          <w:sz w:val="20"/>
        </w:rPr>
        <w:t xml:space="preserve">. To the extent permitted under applicable stock exchange listing standards, any dividend equivalents paid or credited under the Plan with respect to Restricted Stock Units shall not be applied against the number of Common Shares that may be issued under the Plan, whether or not such dividend equivalents are converted into Restricted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 </w:t>
      </w:r>
    </w:p>
    <w:p>
      <w:pPr>
        <w:pStyle w:val="TextBody"/>
        <w:bidi w:val="0"/>
        <w:spacing w:before="240" w:after="0"/>
        <w:jc w:val="both"/>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Code Section</w:t>
      </w:r>
      <w:r>
        <w:rPr>
          <w:rFonts w:ascii="Times New Roman" w:hAnsi="Times New Roman"/>
          <w:sz w:val="20"/>
        </w:rPr>
        <w:t> </w:t>
      </w:r>
      <w:r>
        <w:rPr>
          <w:rFonts w:ascii="Times New Roman" w:hAnsi="Times New Roman"/>
          <w:b/>
          <w:sz w:val="20"/>
        </w:rPr>
        <w:t xml:space="preserve">422 and Other Limits. </w:t>
      </w:r>
      <w:r>
        <w:rPr>
          <w:rFonts w:ascii="Times New Roman" w:hAnsi="Times New Roman"/>
          <w:sz w:val="20"/>
        </w:rPr>
        <w:t xml:space="preserve">Subject to adjustment in accordance with Article 9: </w:t>
      </w:r>
    </w:p>
    <w:p>
      <w:pPr>
        <w:pStyle w:val="TextBody"/>
        <w:bidi w:val="0"/>
        <w:spacing w:before="240" w:after="0"/>
        <w:jc w:val="both"/>
        <w:rPr>
          <w:rFonts w:ascii="Times New Roman" w:hAnsi="Times New Roman"/>
          <w:sz w:val="20"/>
        </w:rPr>
      </w:pPr>
      <w:r>
        <w:rPr>
          <w:rFonts w:ascii="Times New Roman" w:hAnsi="Times New Roman"/>
          <w:sz w:val="20"/>
        </w:rPr>
        <w:t xml:space="preserve">(a) The grant date fair value of Awards granted to an Outside Director during any one fiscal year of the Company, together with the value of any cash compensation paid to the Outside Director apart from this Plan during such fiscal year, may not exceed $750,000 (on a per-Director basis); </w:t>
      </w:r>
      <w:r>
        <w:rPr>
          <w:rFonts w:ascii="Times New Roman" w:hAnsi="Times New Roman"/>
          <w:i/>
          <w:sz w:val="20"/>
        </w:rPr>
        <w:t>provided however</w:t>
      </w:r>
      <w:r>
        <w:rPr>
          <w:rFonts w:ascii="Times New Roman" w:hAnsi="Times New Roman"/>
          <w:sz w:val="20"/>
        </w:rPr>
        <w:t xml:space="preserve"> that the limitation that will apply in the fiscal year in which the Outside Director is initially appointed or elected to the Board shall instead be $1,000,000. For purposes of this limitation, grant date fair value of an Award shall be determined in accordance with the assumptions that the Company uses to estimate the value of share-based payments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financial reporting purposes.. For the sake of clarity, Awards granted to an individual while he or she was an Employee or Consultant, but not an Outside Director, shall </w:t>
      </w:r>
      <w:r>
        <w:rPr>
          <w:rFonts w:ascii="Times New Roman" w:hAnsi="Times New Roman"/>
          <w:sz w:val="20"/>
          <w:u w:val="single"/>
        </w:rPr>
        <w:t>not</w:t>
      </w:r>
      <w:r>
        <w:rPr>
          <w:rFonts w:ascii="Times New Roman" w:hAnsi="Times New Roman"/>
          <w:sz w:val="20"/>
        </w:rPr>
        <w:t xml:space="preserve"> count towards this limitation. </w:t>
      </w:r>
    </w:p>
    <w:p>
      <w:pPr>
        <w:pStyle w:val="TextBody"/>
        <w:bidi w:val="0"/>
        <w:spacing w:before="240" w:after="0"/>
        <w:jc w:val="both"/>
        <w:rPr>
          <w:rFonts w:ascii="Times New Roman" w:hAnsi="Times New Roman"/>
          <w:sz w:val="20"/>
        </w:rPr>
      </w:pPr>
      <w:r>
        <w:rPr>
          <w:rFonts w:ascii="Times New Roman" w:hAnsi="Times New Roman"/>
          <w:sz w:val="20"/>
        </w:rPr>
        <w:t xml:space="preserve">(b) The maximum number of shares that may be issued under the Plan upon the exercise of ISOs shall equal the share number stated in the proviso of the second sentence of Article 3.1 (subject to adjustment pursuant to Article 9). </w:t>
      </w:r>
    </w:p>
    <w:p>
      <w:pPr>
        <w:pStyle w:val="TextBody"/>
        <w:bidi w:val="0"/>
        <w:spacing w:before="360" w:after="0"/>
        <w:jc w:val="left"/>
        <w:rPr>
          <w:rFonts w:ascii="Times New Roman" w:hAnsi="Times New Roman"/>
          <w:b/>
          <w:sz w:val="20"/>
        </w:rPr>
      </w:pPr>
      <w:r>
        <w:rPr>
          <w:rFonts w:ascii="Times New Roman" w:hAnsi="Times New Roman"/>
          <w:b/>
          <w:sz w:val="20"/>
        </w:rPr>
        <w:t xml:space="preserve">ARTICLE 4. ELIGIBILITY. </w:t>
      </w:r>
    </w:p>
    <w:p>
      <w:pPr>
        <w:pStyle w:val="TextBody"/>
        <w:bidi w:val="0"/>
        <w:spacing w:before="120" w:after="0"/>
        <w:jc w:val="both"/>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rPr>
        <w:t>Incentive Stock Options</w:t>
      </w:r>
      <w:r>
        <w:rPr>
          <w:rFonts w:ascii="Times New Roman" w:hAnsi="Times New Roman"/>
          <w:sz w:val="20"/>
        </w:rPr>
        <w:t xml:space="preserve">. Only Employees who are common-law employees of the Company, a Parent or a Subsidiary shall be eligible for the 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 </w:t>
      </w:r>
    </w:p>
    <w:p>
      <w:pPr>
        <w:pStyle w:val="TextBody"/>
        <w:bidi w:val="0"/>
        <w:spacing w:before="240" w:after="0"/>
        <w:jc w:val="both"/>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Awards other than ISOs may be granted to both Employees and other Service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ARTICLE 5. OPTIONS. </w:t>
      </w:r>
    </w:p>
    <w:p>
      <w:pPr>
        <w:pStyle w:val="TextBody"/>
        <w:bidi w:val="0"/>
        <w:spacing w:before="120" w:after="0"/>
        <w:jc w:val="both"/>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Stock Option Agreement</w:t>
      </w:r>
      <w:r>
        <w:rPr>
          <w:rFonts w:ascii="Times New Roman" w:hAnsi="Times New Roman"/>
          <w:sz w:val="20"/>
        </w:rPr>
        <w:t xml:space="preserve">. Each grant of an Option under the Plan shall be evidenced by a Stock Option Agreement between the Optionee and the 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 </w:t>
      </w:r>
    </w:p>
    <w:p>
      <w:pPr>
        <w:pStyle w:val="TextBody"/>
        <w:bidi w:val="0"/>
        <w:spacing w:before="240" w:after="0"/>
        <w:jc w:val="both"/>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Number of Shares</w:t>
      </w:r>
      <w:r>
        <w:rPr>
          <w:rFonts w:ascii="Times New Roman" w:hAnsi="Times New Roman"/>
          <w:sz w:val="20"/>
        </w:rPr>
        <w:t xml:space="preserve">. Each Stock Option Agreement shall specify the number of Common Shares subject to the Option, which number shall adjust in accordance with Article 9. </w:t>
      </w:r>
    </w:p>
    <w:p>
      <w:pPr>
        <w:pStyle w:val="TextBody"/>
        <w:bidi w:val="0"/>
        <w:spacing w:before="240" w:after="0"/>
        <w:jc w:val="both"/>
        <w:rPr>
          <w:rFonts w:ascii="Times New Roman" w:hAnsi="Times New Roman"/>
          <w:sz w:val="20"/>
        </w:rPr>
      </w:pPr>
      <w:r>
        <w:rPr>
          <w:rFonts w:ascii="Times New Roman" w:hAnsi="Times New Roman"/>
          <w:b/>
          <w:sz w:val="20"/>
        </w:rPr>
        <w:t>5.3 Exercise Price</w:t>
      </w:r>
      <w:r>
        <w:rPr>
          <w:rFonts w:ascii="Times New Roman" w:hAnsi="Times New Roman"/>
          <w:sz w:val="20"/>
        </w:rPr>
        <w:t xml:space="preserve">. Each Stock Option Agreement shall specify the Exercise Price, which shall not be less than 100% of the Fair Market Value of a Common Share on the date of grant. The preceding sentence shall not apply to an Option that is a Substitute Award granted in a manner that would satisfy the requirements of Code Section 409A and, if applicable, Code Section 424(a). </w:t>
      </w:r>
    </w:p>
    <w:p>
      <w:pPr>
        <w:pStyle w:val="TextBody"/>
        <w:bidi w:val="0"/>
        <w:spacing w:before="240" w:after="0"/>
        <w:jc w:val="both"/>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rPr>
        <w:t>Exercisability and Term</w:t>
      </w:r>
      <w:r>
        <w:rPr>
          <w:rFonts w:ascii="Times New Roman" w:hAnsi="Times New Roman"/>
          <w:sz w:val="20"/>
        </w:rPr>
        <w:t xml:space="preserve">. Each Stock Option Agreement shall specify the date or event when all or any installment of the Option is to become vested and/or exercisable. The vesting and exercisability conditions applicable to the Option may include service-based conditions, performance-based conditions, such other conditions as the Administrator may determine, or any combination of such conditions.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 </w:t>
      </w:r>
    </w:p>
    <w:p>
      <w:pPr>
        <w:pStyle w:val="TextBody"/>
        <w:bidi w:val="0"/>
        <w:spacing w:before="240" w:after="0"/>
        <w:jc w:val="both"/>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rPr>
        <w:t>Death of Optionee</w:t>
      </w:r>
      <w:r>
        <w:rPr>
          <w:rFonts w:ascii="Times New Roman" w:hAnsi="Times New Roman"/>
          <w:sz w:val="20"/>
        </w:rPr>
        <w:t xml:space="preserve">. After an Optionees death, any vested and exercisable Options held by such Optionee may be exercised by his or her 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 </w:t>
      </w:r>
    </w:p>
    <w:p>
      <w:pPr>
        <w:pStyle w:val="TextBody"/>
        <w:bidi w:val="0"/>
        <w:spacing w:before="240" w:after="0"/>
        <w:jc w:val="both"/>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rPr>
        <w:t>Modification or Assumption of Options</w:t>
      </w:r>
      <w:r>
        <w:rPr>
          <w:rFonts w:ascii="Times New Roman" w:hAnsi="Times New Roman"/>
          <w:sz w:val="20"/>
        </w:rPr>
        <w:t xml:space="preserve">. Within the limitations of the Plan, the Administrator may modify, reprice, extend or assume outstanding options or may accept the cancellation of outstanding options (whether granted by the Company or by another issuer) in return for the grant of new Options for the same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different number of shares and at the same or a different exercise price or in return for the grant of a different type of Award. The foregoing notwithstanding, no modification of an Option shall, without the consent of the Optionee, materially impair his or her rights or obligations under such Option. </w:t>
      </w:r>
    </w:p>
    <w:p>
      <w:pPr>
        <w:pStyle w:val="TextBody"/>
        <w:bidi w:val="0"/>
        <w:spacing w:before="240" w:after="0"/>
        <w:jc w:val="both"/>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rPr>
        <w:t>Buyout Provisions</w:t>
      </w:r>
      <w:r>
        <w:rPr>
          <w:rFonts w:ascii="Times New Roman" w:hAnsi="Times New Roman"/>
          <w:sz w:val="20"/>
        </w:rPr>
        <w:t xml:space="preserve">. The Administrator may at any time (a) offer to buy out for a payment in cash or cash equivalents an Option previously granted or (b) authorize an Optionee to elect to cash out an Option previously granted, in either case at such time and based upon such terms and conditions as the Administrator shall establish. </w:t>
      </w:r>
    </w:p>
    <w:p>
      <w:pPr>
        <w:pStyle w:val="TextBody"/>
        <w:bidi w:val="0"/>
        <w:spacing w:before="240" w:after="0"/>
        <w:jc w:val="both"/>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b/>
          <w:sz w:val="20"/>
        </w:rPr>
        <w:t>Payment for Option Shares</w:t>
      </w:r>
      <w:r>
        <w:rPr>
          <w:rFonts w:ascii="Times New Roman" w:hAnsi="Times New Roman"/>
          <w:sz w:val="20"/>
        </w:rPr>
        <w:t xml:space="preserve">. The entire Exercise Price of Common Shares issued upon exercise of Options shall be payable in cash or cash 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 </w:t>
      </w:r>
    </w:p>
    <w:p>
      <w:pPr>
        <w:pStyle w:val="TextBody"/>
        <w:bidi w:val="0"/>
        <w:spacing w:before="240" w:after="0"/>
        <w:jc w:val="both"/>
        <w:rPr>
          <w:rFonts w:ascii="Times New Roman" w:hAnsi="Times New Roman"/>
          <w:sz w:val="20"/>
        </w:rPr>
      </w:pPr>
      <w:r>
        <w:rPr>
          <w:rFonts w:ascii="Times New Roman" w:hAnsi="Times New Roman"/>
          <w:sz w:val="20"/>
        </w:rPr>
        <w:t xml:space="preserve">(a) Subject to any conditions or limitations established by the Administrator, by surrendering, or attesting to the ownership of, Common Shares that are already owned by the Optionee with a value on the date of surrender equal to the aggregate exercise price of the Common Shares as to which such Option will be exercised; </w:t>
      </w:r>
    </w:p>
    <w:p>
      <w:pPr>
        <w:pStyle w:val="TextBody"/>
        <w:bidi w:val="0"/>
        <w:spacing w:before="240" w:after="0"/>
        <w:jc w:val="both"/>
        <w:rPr>
          <w:rFonts w:ascii="Times New Roman" w:hAnsi="Times New Roman"/>
          <w:sz w:val="20"/>
        </w:rPr>
      </w:pPr>
      <w:r>
        <w:rPr>
          <w:rFonts w:ascii="Times New Roman" w:hAnsi="Times New Roman"/>
          <w:sz w:val="20"/>
        </w:rPr>
        <w:t xml:space="preserve">(b) By delivering (on a form prescribed by the Company) an irrevocable direction to a securities broker approved by the Company to sell all or part of the Common Shares being purchased under the Plan and to deliver all or part of the sales proceeds to the Company; </w:t>
      </w:r>
    </w:p>
    <w:p>
      <w:pPr>
        <w:pStyle w:val="TextBody"/>
        <w:bidi w:val="0"/>
        <w:spacing w:before="240" w:after="0"/>
        <w:jc w:val="both"/>
        <w:rPr>
          <w:rFonts w:ascii="Times New Roman" w:hAnsi="Times New Roman"/>
          <w:sz w:val="20"/>
        </w:rPr>
      </w:pPr>
      <w:r>
        <w:rPr>
          <w:rFonts w:ascii="Times New Roman" w:hAnsi="Times New Roman"/>
          <w:sz w:val="20"/>
        </w:rPr>
        <w:t xml:space="preserve">(c) Subject to such conditions and requirements as the Administrator may impose from time to time, through a net exercise procedure; or </w:t>
      </w:r>
    </w:p>
    <w:p>
      <w:pPr>
        <w:pStyle w:val="TextBody"/>
        <w:bidi w:val="0"/>
        <w:spacing w:before="240" w:after="0"/>
        <w:jc w:val="both"/>
        <w:rPr>
          <w:rFonts w:ascii="Times New Roman" w:hAnsi="Times New Roman"/>
          <w:sz w:val="20"/>
        </w:rPr>
      </w:pPr>
      <w:r>
        <w:rPr>
          <w:rFonts w:ascii="Times New Roman" w:hAnsi="Times New Roman"/>
          <w:sz w:val="20"/>
        </w:rPr>
        <w:t xml:space="preserve">(d) Through any other form or method consistent with applicable laws, regulations and rules. </w:t>
      </w:r>
    </w:p>
    <w:p>
      <w:pPr>
        <w:pStyle w:val="TextBody"/>
        <w:bidi w:val="0"/>
        <w:spacing w:before="360" w:after="0"/>
        <w:jc w:val="left"/>
        <w:rPr>
          <w:rFonts w:ascii="Times New Roman" w:hAnsi="Times New Roman"/>
          <w:b/>
          <w:sz w:val="20"/>
        </w:rPr>
      </w:pPr>
      <w:r>
        <w:rPr>
          <w:rFonts w:ascii="Times New Roman" w:hAnsi="Times New Roman"/>
          <w:b/>
          <w:sz w:val="20"/>
        </w:rPr>
        <w:t xml:space="preserve">ARTICLE 6. STOCK APPRECIATION RIGHTS. </w:t>
      </w:r>
    </w:p>
    <w:p>
      <w:pPr>
        <w:pStyle w:val="TextBody"/>
        <w:bidi w:val="0"/>
        <w:spacing w:before="120" w:after="0"/>
        <w:jc w:val="both"/>
        <w:rPr>
          <w:rFonts w:ascii="Times New Roman" w:hAnsi="Times New Roman"/>
          <w:sz w:val="20"/>
        </w:rPr>
      </w:pPr>
      <w:r>
        <w:rPr>
          <w:rFonts w:ascii="Times New Roman" w:hAnsi="Times New Roman"/>
          <w:b/>
          <w:sz w:val="20"/>
        </w:rPr>
        <w:t>6.1 SAR Agreement</w:t>
      </w:r>
      <w:r>
        <w:rPr>
          <w:rFonts w:ascii="Times New Roman" w:hAnsi="Times New Roman"/>
          <w:sz w:val="20"/>
        </w:rPr>
        <w:t xml:space="preserve">. Each grant of a SAR under the Plan shall be evidenced by a SAR Agreement between the Optionee and the Company. Such SAR shall be subject to all applicable terms of the Plan and may be subject to any other terms that are not inconsistent with the Plan. The provisions of the various SAR Agreements entered into under the Plan need not be identical. </w:t>
      </w:r>
    </w:p>
    <w:p>
      <w:pPr>
        <w:pStyle w:val="TextBody"/>
        <w:bidi w:val="0"/>
        <w:spacing w:before="240" w:after="0"/>
        <w:jc w:val="both"/>
        <w:rPr>
          <w:rFonts w:ascii="Times New Roman" w:hAnsi="Times New Roman"/>
          <w:sz w:val="20"/>
        </w:rPr>
      </w:pPr>
      <w:r>
        <w:rPr>
          <w:rFonts w:ascii="Times New Roman" w:hAnsi="Times New Roman"/>
          <w:b/>
          <w:sz w:val="20"/>
        </w:rPr>
        <w:t>6.2 Number of Shares</w:t>
      </w:r>
      <w:r>
        <w:rPr>
          <w:rFonts w:ascii="Times New Roman" w:hAnsi="Times New Roman"/>
          <w:sz w:val="20"/>
        </w:rPr>
        <w:t xml:space="preserve">. Each SAR Agreement shall specify the number of Common Shares to which the SAR pertains, which number shall adjust in accordance with Article 9. </w:t>
      </w:r>
    </w:p>
    <w:p>
      <w:pPr>
        <w:pStyle w:val="TextBody"/>
        <w:bidi w:val="0"/>
        <w:spacing w:before="240" w:after="0"/>
        <w:jc w:val="both"/>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Exercise Price</w:t>
      </w:r>
      <w:r>
        <w:rPr>
          <w:rFonts w:ascii="Times New Roman" w:hAnsi="Times New Roman"/>
          <w:sz w:val="20"/>
        </w:rPr>
        <w:t xml:space="preserve">. Each SAR Agreement shall specify the Exercise Price, which shall in no event be less than 100% of the Fair Market Value of a Common Share on the date of grant. The preceding sentence shall not apply to a SAR that is a Substitute Award granted in a manner that would satisfy the requirements of Code Section 409A. </w:t>
      </w:r>
    </w:p>
    <w:p>
      <w:pPr>
        <w:pStyle w:val="TextBody"/>
        <w:bidi w:val="0"/>
        <w:spacing w:before="240" w:after="0"/>
        <w:jc w:val="both"/>
        <w:rPr>
          <w:rFonts w:ascii="Times New Roman" w:hAnsi="Times New Roman"/>
          <w:sz w:val="20"/>
        </w:rPr>
      </w:pPr>
      <w:r>
        <w:rPr>
          <w:rFonts w:ascii="Times New Roman" w:hAnsi="Times New Roman"/>
          <w:b/>
          <w:sz w:val="20"/>
        </w:rPr>
        <w:t>6.4 Exercisability and Term</w:t>
      </w:r>
      <w:r>
        <w:rPr>
          <w:rFonts w:ascii="Times New Roman" w:hAnsi="Times New Roman"/>
          <w:sz w:val="20"/>
        </w:rPr>
        <w:t xml:space="preserve">. Each SAR Agreement shall specify the date when all or any installment of the SAR is to become vested and exercisable. The vesting and exercisability conditions applicable to the SAR may include service-based conditions, performance-based conditions, such other conditions as the Administrator may determine, or any combination thereof. 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Exercise of SARs</w:t>
      </w:r>
      <w:r>
        <w:rPr>
          <w:rFonts w:ascii="Times New Roman" w:hAnsi="Times New Roman"/>
          <w:sz w:val="20"/>
        </w:rPr>
        <w:t xml:space="preserve">. Upon exercise of a SAR, the Optionee (or any person having the right to exercise the SAR after his or her death) shall receive from the Company (a) 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 </w:t>
      </w:r>
    </w:p>
    <w:p>
      <w:pPr>
        <w:pStyle w:val="TextBody"/>
        <w:bidi w:val="0"/>
        <w:spacing w:before="240" w:after="0"/>
        <w:jc w:val="both"/>
        <w:rPr>
          <w:rFonts w:ascii="Times New Roman" w:hAnsi="Times New Roman"/>
          <w:sz w:val="20"/>
        </w:rPr>
      </w:pPr>
      <w:r>
        <w:rPr>
          <w:rFonts w:ascii="Times New Roman" w:hAnsi="Times New Roman"/>
          <w:b/>
          <w:sz w:val="20"/>
        </w:rPr>
        <w:t>6.6 Death of Optionee</w:t>
      </w:r>
      <w:r>
        <w:rPr>
          <w:rFonts w:ascii="Times New Roman" w:hAnsi="Times New Roman"/>
          <w:sz w:val="20"/>
        </w:rPr>
        <w:t xml:space="preserve">. After an Optionees death, any vested and exercisable SARs held by such Optionee may be exercised by his or her 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 </w:t>
      </w:r>
    </w:p>
    <w:p>
      <w:pPr>
        <w:pStyle w:val="TextBody"/>
        <w:bidi w:val="0"/>
        <w:spacing w:before="240" w:after="0"/>
        <w:jc w:val="both"/>
        <w:rPr>
          <w:rFonts w:ascii="Times New Roman" w:hAnsi="Times New Roman"/>
          <w:sz w:val="20"/>
        </w:rPr>
      </w:pPr>
      <w:r>
        <w:rPr>
          <w:rFonts w:ascii="Times New Roman" w:hAnsi="Times New Roman"/>
          <w:b/>
          <w:sz w:val="20"/>
        </w:rPr>
        <w:t>6.7 Modification or Assumption of SARs</w:t>
      </w:r>
      <w:r>
        <w:rPr>
          <w:rFonts w:ascii="Times New Roman" w:hAnsi="Times New Roman"/>
          <w:sz w:val="20"/>
        </w:rPr>
        <w:t xml:space="preserve">. Within the limitations of the Plan, the Administrator may modify, reprice, extend or assume outstanding stock appreciation rights or may accept the cancellation of outstanding stock appreciation rights (whether granted by the Company or by another issuer) in return for the grant of new SARs for the same or a different number of shares and at the same or a different exercise price or in return for the grant of a different type of Award. The foregoing notwithstanding, no modification of a SAR shall, without the consent of the Optionee, materially impair his or her rights or obligations under such SAR. </w:t>
      </w:r>
    </w:p>
    <w:p>
      <w:pPr>
        <w:pStyle w:val="TextBody"/>
        <w:bidi w:val="0"/>
        <w:spacing w:before="360" w:after="0"/>
        <w:jc w:val="left"/>
        <w:rPr>
          <w:rFonts w:ascii="Times New Roman" w:hAnsi="Times New Roman"/>
          <w:b/>
          <w:sz w:val="20"/>
        </w:rPr>
      </w:pPr>
      <w:r>
        <w:rPr>
          <w:rFonts w:ascii="Times New Roman" w:hAnsi="Times New Roman"/>
          <w:b/>
          <w:sz w:val="20"/>
        </w:rPr>
        <w:t xml:space="preserve">ARTICLE 7. RESTRICTED SHARES. </w:t>
      </w:r>
    </w:p>
    <w:p>
      <w:pPr>
        <w:pStyle w:val="TextBody"/>
        <w:bidi w:val="0"/>
        <w:spacing w:before="120" w:after="0"/>
        <w:jc w:val="both"/>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rPr>
        <w:t>Restricted Stock Agreement</w:t>
      </w:r>
      <w:r>
        <w:rPr>
          <w:rFonts w:ascii="Times New Roman" w:hAnsi="Times New Roman"/>
          <w:sz w:val="20"/>
        </w:rPr>
        <w:t xml:space="preserve">. Each grant of Restricted Shares under the Plan shall be evidenced by a Restricted Stock Agreement between 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 </w:t>
      </w:r>
    </w:p>
    <w:p>
      <w:pPr>
        <w:pStyle w:val="TextBody"/>
        <w:bidi w:val="0"/>
        <w:spacing w:before="240" w:after="0"/>
        <w:jc w:val="both"/>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rPr>
        <w:t>Payment for Awards</w:t>
      </w:r>
      <w:r>
        <w:rPr>
          <w:rFonts w:ascii="Times New Roman" w:hAnsi="Times New Roman"/>
          <w:sz w:val="20"/>
        </w:rPr>
        <w:t xml:space="preserve">. Restricted Shares may be sold or awarded under the Plan for such consideration as the Administrator may determine, including (without limitation) cash, cash equivalents, property, cancellation of other equity awards, promissory notes, past services and future services, and such other methods of payment as are permitted by applicable law. </w:t>
      </w:r>
    </w:p>
    <w:p>
      <w:pPr>
        <w:pStyle w:val="TextBody"/>
        <w:bidi w:val="0"/>
        <w:spacing w:before="240" w:after="0"/>
        <w:jc w:val="both"/>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rPr>
        <w:t>Vesting Conditions</w:t>
      </w:r>
      <w:r>
        <w:rPr>
          <w:rFonts w:ascii="Times New Roman" w:hAnsi="Times New Roman"/>
          <w:sz w:val="20"/>
        </w:rPr>
        <w:t xml:space="preserve">. Each Award of Restricted Shares may or may not be subject to vesting and/or other conditions as the Administrator may determine. Vesting shall occur, in full or in installments, upon satisfaction of the conditions specified in the Restricted Stock Agreement. Vesting conditions may include service-based conditions, performance-based conditions, such other conditions as the Administrator may determine, or any combination thereof. A Restricted Stock Agreement may provide for accelerated vesting upon certain specified events. </w:t>
      </w:r>
    </w:p>
    <w:p>
      <w:pPr>
        <w:pStyle w:val="TextBody"/>
        <w:bidi w:val="0"/>
        <w:spacing w:before="240" w:after="0"/>
        <w:jc w:val="both"/>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rPr>
        <w:t>Voting and Dividend Rights</w:t>
      </w:r>
      <w:r>
        <w:rPr>
          <w:rFonts w:ascii="Times New Roman" w:hAnsi="Times New Roman"/>
          <w:sz w:val="20"/>
        </w:rPr>
        <w:t xml:space="preserve">. The holders of Restricted Shares awarded under the Plan shall have the same voting, dividend and other rights as the Companys other 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rPr>
        <w:t>Modification or Assumption of Restricted Shares</w:t>
      </w:r>
      <w:r>
        <w:rPr>
          <w:rFonts w:ascii="Times New Roman" w:hAnsi="Times New Roman"/>
          <w:sz w:val="20"/>
        </w:rPr>
        <w:t xml:space="preserve">. Within the limitations of the Plan, the Administrator may modify or assume outstanding Restricted Shares or may accept the cancellation of outstanding restricted shares (whether granted by the Company or by another issuer) in return for the grant of new Restricted Shares for the same or a different number of shares or in return for the grant of a different type of Award. The foregoing notwithstanding, no modification of Restricted Shares shall, without the consent of the Participant, materially impair his or her rights or obligations under such Restricted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ARTICLE 8. RESTRICTED STOCK UNITS. </w:t>
      </w:r>
    </w:p>
    <w:p>
      <w:pPr>
        <w:pStyle w:val="TextBody"/>
        <w:bidi w:val="0"/>
        <w:spacing w:before="120" w:after="0"/>
        <w:jc w:val="both"/>
        <w:rPr>
          <w:rFonts w:ascii="Times New Roman" w:hAnsi="Times New Roman"/>
          <w:sz w:val="20"/>
        </w:rPr>
      </w:pPr>
      <w:r>
        <w:rPr>
          <w:rFonts w:ascii="Times New Roman" w:hAnsi="Times New Roman"/>
          <w:b/>
          <w:sz w:val="20"/>
        </w:rPr>
        <w:t>8.1 Restricted Stock Unit Agreement</w:t>
      </w:r>
      <w:r>
        <w:rPr>
          <w:rFonts w:ascii="Times New Roman" w:hAnsi="Times New Roman"/>
          <w:sz w:val="20"/>
        </w:rPr>
        <w:t xml:space="preserve">. Each grant of Restricted Stock Units under the Plan shall be evidenced by a Restricted Stock Unit Agreement between the recipient and the Company. Such Restricted Stock Units shall be subject to all applicable terms of the Plan and may be subject to any other terms that are not inconsistent with the Plan. The provisions of the various Restricted Stock Unit Agreements entered into under the Plan need not be identical. </w:t>
      </w:r>
    </w:p>
    <w:p>
      <w:pPr>
        <w:pStyle w:val="TextBody"/>
        <w:bidi w:val="0"/>
        <w:spacing w:before="240" w:after="0"/>
        <w:jc w:val="both"/>
        <w:rPr>
          <w:rFonts w:ascii="Times New Roman" w:hAnsi="Times New Roman"/>
          <w:sz w:val="20"/>
        </w:rPr>
      </w:pPr>
      <w:r>
        <w:rPr>
          <w:rFonts w:ascii="Times New Roman" w:hAnsi="Times New Roman"/>
          <w:b/>
          <w:sz w:val="20"/>
        </w:rPr>
        <w:t>8.2 Payment for Awards</w:t>
      </w:r>
      <w:r>
        <w:rPr>
          <w:rFonts w:ascii="Times New Roman" w:hAnsi="Times New Roman"/>
          <w:sz w:val="20"/>
        </w:rPr>
        <w:t xml:space="preserve">. To the extent that an Award is granted in the form of Restricted Stock Units, no cash consideration shall be required of the Award recipients. </w:t>
      </w:r>
    </w:p>
    <w:p>
      <w:pPr>
        <w:pStyle w:val="TextBody"/>
        <w:bidi w:val="0"/>
        <w:spacing w:before="240" w:after="0"/>
        <w:jc w:val="both"/>
        <w:rPr>
          <w:rFonts w:ascii="Times New Roman" w:hAnsi="Times New Roman"/>
          <w:sz w:val="20"/>
        </w:rPr>
      </w:pPr>
      <w:r>
        <w:rPr>
          <w:rFonts w:ascii="Times New Roman" w:hAnsi="Times New Roman"/>
          <w:b/>
          <w:sz w:val="20"/>
        </w:rPr>
        <w:t>8.3 Vesting Conditions</w:t>
      </w:r>
      <w:r>
        <w:rPr>
          <w:rFonts w:ascii="Times New Roman" w:hAnsi="Times New Roman"/>
          <w:sz w:val="20"/>
        </w:rPr>
        <w:t xml:space="preserve">. Each Award of Restricted Stock Units may or may not be subject to vesting, as determined by the Administrator. Vesting shall occur, in full or in installments, upon satisfaction of the conditions specified in the Restricted Stock Unit Agreement. Vesting conditions may include service-based conditions, performance-based conditions, such other conditions as the Administrator may determine, or any combination thereof. A Restricted Stock Unit Agreement may provide for accelerated vesting upon certain specified events. </w:t>
      </w:r>
    </w:p>
    <w:p>
      <w:pPr>
        <w:pStyle w:val="TextBody"/>
        <w:bidi w:val="0"/>
        <w:spacing w:before="240" w:after="0"/>
        <w:jc w:val="both"/>
        <w:rPr>
          <w:rFonts w:ascii="Times New Roman" w:hAnsi="Times New Roman"/>
          <w:sz w:val="20"/>
        </w:rPr>
      </w:pPr>
      <w:r>
        <w:rPr>
          <w:rFonts w:ascii="Times New Roman" w:hAnsi="Times New Roman"/>
          <w:b/>
          <w:sz w:val="20"/>
        </w:rPr>
        <w:t>8.4 Voting and Dividend Rights</w:t>
      </w:r>
      <w:r>
        <w:rPr>
          <w:rFonts w:ascii="Times New Roman" w:hAnsi="Times New Roman"/>
          <w:sz w:val="20"/>
        </w:rPr>
        <w:t xml:space="preserve">. The holders of Restricted Stock Units shall have no voting rights. Prior to settlement or forfeiture, Restricted Stock Units awarded under the Plan may, at the Administrators discretion, provide for a right to dividend equivalents. Such right entitles the holder to be credited with an amount equal to all cash dividends paid on one Common Share while the Restricted Stock Unit is outstanding. Dividend equivalents may be converted into additional Restricted Stock Units. Settlement of dividend equivalents may be made in the form of cash, in the form of Common Shares, or in a combination of both. Prior to distribution, any dividend equivalents shall be subject to the same conditions and restrictions as the Restricted Stock Units to which they attach. </w:t>
      </w:r>
    </w:p>
    <w:p>
      <w:pPr>
        <w:pStyle w:val="TextBody"/>
        <w:bidi w:val="0"/>
        <w:spacing w:before="240" w:after="0"/>
        <w:jc w:val="both"/>
        <w:rPr>
          <w:rFonts w:ascii="Times New Roman" w:hAnsi="Times New Roman"/>
          <w:sz w:val="20"/>
        </w:rPr>
      </w:pPr>
      <w:r>
        <w:rPr>
          <w:rFonts w:ascii="Times New Roman" w:hAnsi="Times New Roman"/>
          <w:b/>
          <w:sz w:val="20"/>
        </w:rPr>
        <w:t>8.5</w:t>
      </w:r>
      <w:r>
        <w:rPr>
          <w:rFonts w:ascii="Times New Roman" w:hAnsi="Times New Roman"/>
          <w:sz w:val="20"/>
        </w:rPr>
        <w:t xml:space="preserve"> </w:t>
      </w:r>
      <w:r>
        <w:rPr>
          <w:rFonts w:ascii="Times New Roman" w:hAnsi="Times New Roman"/>
          <w:b/>
          <w:sz w:val="20"/>
        </w:rPr>
        <w:t>Form and Time of Settlement of Restricted Stock Units</w:t>
      </w:r>
      <w:r>
        <w:rPr>
          <w:rFonts w:ascii="Times New Roman" w:hAnsi="Times New Roman"/>
          <w:sz w:val="20"/>
        </w:rPr>
        <w:t xml:space="preserve">. Settlement of vested Restricted Stock Units may be made in the form of (a) cash, (b) Common Shares or (c) any combination of both, as determined by the Administrator.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value of Common Shares over a series of trading days. Vested Restricted Stock Units shall be settled in such manner and at such time(s) as specified in the Restricted Stock Unit Agreement. Until an Award of Restricted Stock Units is settled, the number of such Restricted Stock Units shall be subject to adjustment pursuant to Article 9. </w:t>
      </w:r>
    </w:p>
    <w:p>
      <w:pPr>
        <w:pStyle w:val="TextBody"/>
        <w:bidi w:val="0"/>
        <w:spacing w:before="240" w:after="0"/>
        <w:jc w:val="both"/>
        <w:rPr>
          <w:rFonts w:ascii="Times New Roman" w:hAnsi="Times New Roman"/>
          <w:sz w:val="20"/>
        </w:rPr>
      </w:pPr>
      <w:r>
        <w:rPr>
          <w:rFonts w:ascii="Times New Roman" w:hAnsi="Times New Roman"/>
          <w:b/>
          <w:sz w:val="20"/>
        </w:rPr>
        <w:t>8.6 Death of Recipient</w:t>
      </w:r>
      <w:r>
        <w:rPr>
          <w:rFonts w:ascii="Times New Roman" w:hAnsi="Times New Roman"/>
          <w:sz w:val="20"/>
        </w:rPr>
        <w:t xml:space="preserve">. Any Restricted Stock Units that become payable after the recipients death shall be distributed to the recipients beneficiary or beneficiaries. Each recipient of Restricted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Restricted Stock Units that become payable after the recipients death shall be distributed to the recipients estate. </w:t>
      </w:r>
    </w:p>
    <w:p>
      <w:pPr>
        <w:pStyle w:val="TextBody"/>
        <w:bidi w:val="0"/>
        <w:spacing w:before="240" w:after="0"/>
        <w:jc w:val="both"/>
        <w:rPr>
          <w:rFonts w:ascii="Times New Roman" w:hAnsi="Times New Roman"/>
          <w:sz w:val="20"/>
        </w:rPr>
      </w:pPr>
      <w:r>
        <w:rPr>
          <w:rFonts w:ascii="Times New Roman" w:hAnsi="Times New Roman"/>
          <w:b/>
          <w:sz w:val="20"/>
        </w:rPr>
        <w:t>8.7 Modification or Assumption of Restricted Stock Units</w:t>
      </w:r>
      <w:r>
        <w:rPr>
          <w:rFonts w:ascii="Times New Roman" w:hAnsi="Times New Roman"/>
          <w:sz w:val="20"/>
        </w:rPr>
        <w:t xml:space="preserve">. Within the limitations of the Plan, the Administrator may modify or assume outstanding restricted stock units or may accept the cancellation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outstanding restricted stock units (whether granted by the Company or by another issuer) in return for the grant of new Restricted Stock Units for the same or a different number of shares or in return for the grant of a different type of Award. The foregoing notwithstanding, no modification of a Restricted Stock Unit shall, without the consent of the Participant, materially impair his or her rights or obligations under such Restricted Stock Unit. </w:t>
      </w:r>
    </w:p>
    <w:p>
      <w:pPr>
        <w:pStyle w:val="TextBody"/>
        <w:bidi w:val="0"/>
        <w:spacing w:before="240" w:after="0"/>
        <w:jc w:val="both"/>
        <w:rPr>
          <w:rFonts w:ascii="Times New Roman" w:hAnsi="Times New Roman"/>
          <w:sz w:val="20"/>
        </w:rPr>
      </w:pPr>
      <w:r>
        <w:rPr>
          <w:rFonts w:ascii="Times New Roman" w:hAnsi="Times New Roman"/>
          <w:b/>
          <w:sz w:val="20"/>
        </w:rPr>
        <w:t>8.8</w:t>
      </w:r>
      <w:r>
        <w:rPr>
          <w:rFonts w:ascii="Times New Roman" w:hAnsi="Times New Roman"/>
          <w:sz w:val="20"/>
        </w:rPr>
        <w:t xml:space="preserve"> </w:t>
      </w:r>
      <w:r>
        <w:rPr>
          <w:rFonts w:ascii="Times New Roman" w:hAnsi="Times New Roman"/>
          <w:b/>
          <w:sz w:val="20"/>
        </w:rPr>
        <w:t>Creditors Rights</w:t>
      </w:r>
      <w:r>
        <w:rPr>
          <w:rFonts w:ascii="Times New Roman" w:hAnsi="Times New Roman"/>
          <w:sz w:val="20"/>
        </w:rPr>
        <w:t xml:space="preserve">. A holder of Restricted Stock Units shall have no rights other than those of a general creditor of the Company. Restricted Stock Units represent an unfunded and unsecured obligation of the Company, subject to the terms and conditions of the applicable Restricted Stock Unit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ARTICLE 9. ADJUSTMENTS; DISSOLUTIONS AND LIQUIDATIONS; CORPORATE TRANSACTIONS. </w:t>
      </w:r>
    </w:p>
    <w:p>
      <w:pPr>
        <w:pStyle w:val="TextBody"/>
        <w:bidi w:val="0"/>
        <w:spacing w:before="120" w:after="0"/>
        <w:jc w:val="both"/>
        <w:rPr>
          <w:rFonts w:ascii="Times New Roman" w:hAnsi="Times New Roman"/>
          <w:sz w:val="20"/>
        </w:rPr>
      </w:pPr>
      <w:r>
        <w:rPr>
          <w:rFonts w:ascii="Times New Roman" w:hAnsi="Times New Roman"/>
          <w:b/>
          <w:sz w:val="20"/>
        </w:rPr>
        <w:t>9.1 Adjustments</w:t>
      </w:r>
      <w:r>
        <w:rPr>
          <w:rFonts w:ascii="Times New Roman" w:hAnsi="Times New Roman"/>
          <w:sz w:val="20"/>
        </w:rPr>
        <w:t xml:space="preserve">. In the event of a subdivision of the outstanding Common Shares, a declaration of a dividend payable in Common Shares, a combination or consolidation of the outstanding Common Shares (by reclassification or otherwise) into a lesser number of Common Shares or any other increase or decrease in the number of issued Common Shares effected without receipt of consideration by the Company, proportionate adjustments shall be made to the following: </w:t>
      </w:r>
    </w:p>
    <w:p>
      <w:pPr>
        <w:pStyle w:val="TextBody"/>
        <w:bidi w:val="0"/>
        <w:spacing w:before="240" w:after="0"/>
        <w:jc w:val="both"/>
        <w:rPr>
          <w:rFonts w:ascii="Times New Roman" w:hAnsi="Times New Roman"/>
          <w:sz w:val="20"/>
        </w:rPr>
      </w:pPr>
      <w:r>
        <w:rPr>
          <w:rFonts w:ascii="Times New Roman" w:hAnsi="Times New Roman"/>
          <w:sz w:val="20"/>
        </w:rPr>
        <w:t xml:space="preserve">(a) The number and kind of shares available for issuance under Article 3, including the numerical share limits in Articles 3.1 and 3.2; </w:t>
      </w:r>
    </w:p>
    <w:p>
      <w:pPr>
        <w:pStyle w:val="TextBody"/>
        <w:bidi w:val="0"/>
        <w:spacing w:before="240" w:after="0"/>
        <w:jc w:val="both"/>
        <w:rPr>
          <w:rFonts w:ascii="Times New Roman" w:hAnsi="Times New Roman"/>
          <w:sz w:val="20"/>
        </w:rPr>
      </w:pPr>
      <w:r>
        <w:rPr>
          <w:rFonts w:ascii="Times New Roman" w:hAnsi="Times New Roman"/>
          <w:sz w:val="20"/>
        </w:rPr>
        <w:t xml:space="preserve">(b) The number and kind of shares covered by each outstanding Option, SAR and Restricted Stock Unit; and/or </w:t>
      </w:r>
    </w:p>
    <w:p>
      <w:pPr>
        <w:pStyle w:val="TextBody"/>
        <w:bidi w:val="0"/>
        <w:spacing w:before="240" w:after="0"/>
        <w:jc w:val="both"/>
        <w:rPr>
          <w:rFonts w:ascii="Times New Roman" w:hAnsi="Times New Roman"/>
          <w:sz w:val="20"/>
        </w:rPr>
      </w:pPr>
      <w:r>
        <w:rPr>
          <w:rFonts w:ascii="Times New Roman" w:hAnsi="Times New Roman"/>
          <w:sz w:val="20"/>
        </w:rPr>
        <w:t xml:space="preserve">(c) The Exercise Price applicable to each outstanding Option and SAR, and the repurchase price, if any, applicable to Restricted Shares.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 For the sake of clarity, a stock split, if any, conducted in connection with an initial public offering of the Companys common stock shall trigger an adjustment under this paragraph. </w:t>
      </w:r>
    </w:p>
    <w:p>
      <w:pPr>
        <w:pStyle w:val="TextBody"/>
        <w:bidi w:val="0"/>
        <w:spacing w:before="240" w:after="0"/>
        <w:jc w:val="both"/>
        <w:rPr>
          <w:rFonts w:ascii="Times New Roman" w:hAnsi="Times New Roman"/>
          <w:sz w:val="20"/>
        </w:rPr>
      </w:pPr>
      <w:r>
        <w:rPr>
          <w:rFonts w:ascii="Times New Roman" w:hAnsi="Times New Roman"/>
          <w:b/>
          <w:sz w:val="20"/>
        </w:rPr>
        <w:t>9.2 Dissolution or Liquidation</w:t>
      </w:r>
      <w:r>
        <w:rPr>
          <w:rFonts w:ascii="Times New Roman" w:hAnsi="Times New Roman"/>
          <w:sz w:val="20"/>
        </w:rPr>
        <w:t xml:space="preserve">. To the extent not previously exercised or settled, Options, SARs and Restricted Stock Units shall terminate immediately prior to the dissolution or liquidation of the Company. </w:t>
      </w:r>
    </w:p>
    <w:p>
      <w:pPr>
        <w:pStyle w:val="TextBody"/>
        <w:bidi w:val="0"/>
        <w:spacing w:before="240" w:after="0"/>
        <w:jc w:val="both"/>
        <w:rPr>
          <w:rFonts w:ascii="Times New Roman" w:hAnsi="Times New Roman"/>
          <w:sz w:val="20"/>
        </w:rPr>
      </w:pPr>
      <w:r>
        <w:rPr>
          <w:rFonts w:ascii="Times New Roman" w:hAnsi="Times New Roman"/>
          <w:b/>
          <w:sz w:val="20"/>
        </w:rPr>
        <w:t>9.3 Corporate Transactions</w:t>
      </w:r>
      <w:r>
        <w:rPr>
          <w:rFonts w:ascii="Times New Roman" w:hAnsi="Times New Roman"/>
          <w:sz w:val="20"/>
        </w:rPr>
        <w:t xml:space="preserve">. In the event that the Company is a party to a merger, consolidation, or a Change in Control (other than one described in 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may include (without limitation) one or more of the following with respect to each outstanding Award: </w:t>
      </w:r>
    </w:p>
    <w:p>
      <w:pPr>
        <w:pStyle w:val="TextBody"/>
        <w:bidi w:val="0"/>
        <w:spacing w:before="240" w:after="0"/>
        <w:jc w:val="both"/>
        <w:rPr>
          <w:rFonts w:ascii="Times New Roman" w:hAnsi="Times New Roman"/>
          <w:sz w:val="20"/>
        </w:rPr>
      </w:pPr>
      <w:r>
        <w:rPr>
          <w:rFonts w:ascii="Times New Roman" w:hAnsi="Times New Roman"/>
          <w:sz w:val="20"/>
        </w:rPr>
        <w:t xml:space="preserve">(a) The continuation of such outstanding Award by the Company (if the Company is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The assumption of such outstanding Award by the surviving entity or its parent, provided that the assumption of an Option or a SAR shall comply with applicable tax requirements; </w:t>
      </w:r>
    </w:p>
    <w:p>
      <w:pPr>
        <w:pStyle w:val="TextBody"/>
        <w:bidi w:val="0"/>
        <w:spacing w:before="240" w:after="0"/>
        <w:jc w:val="both"/>
        <w:rPr>
          <w:rFonts w:ascii="Times New Roman" w:hAnsi="Times New Roman"/>
          <w:sz w:val="20"/>
        </w:rPr>
      </w:pPr>
      <w:r>
        <w:rPr>
          <w:rFonts w:ascii="Times New Roman" w:hAnsi="Times New Roman"/>
          <w:sz w:val="20"/>
        </w:rPr>
        <w:t xml:space="preserve">(c) 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 </w:t>
      </w:r>
    </w:p>
    <w:p>
      <w:pPr>
        <w:pStyle w:val="TextBody"/>
        <w:bidi w:val="0"/>
        <w:spacing w:before="240" w:after="0"/>
        <w:jc w:val="both"/>
        <w:rPr>
          <w:rFonts w:ascii="Times New Roman" w:hAnsi="Times New Roman"/>
          <w:sz w:val="20"/>
        </w:rPr>
      </w:pPr>
      <w:r>
        <w:rPr>
          <w:rFonts w:ascii="Times New Roman" w:hAnsi="Times New Roman"/>
          <w:sz w:val="20"/>
        </w:rPr>
        <w:t xml:space="preserve">(d) In the case of an Option or SAR, the cancellation of such Award without payment of any consideration. An Optionee shall be able to exercise his or her outstanding Option or SAR, to the extent such Option or SAR is then vested or becomes vested as of the effective time of the transaction, during a period of not less than five full business days preceding the closing date of the transaction, unless (i) a shorter period is required to permit a timely closing of the transaction and (ii) such shorter period still offers the Optionee a reasonable opportunity to exercise such Option or SAR. Any exercise of such Option or SAR during such period may be contingent on the closing of the transaction; </w:t>
      </w:r>
    </w:p>
    <w:p>
      <w:pPr>
        <w:pStyle w:val="TextBody"/>
        <w:bidi w:val="0"/>
        <w:spacing w:before="240" w:after="0"/>
        <w:jc w:val="both"/>
        <w:rPr>
          <w:rFonts w:ascii="Times New Roman" w:hAnsi="Times New Roman"/>
          <w:sz w:val="20"/>
        </w:rPr>
      </w:pPr>
      <w:r>
        <w:rPr>
          <w:rFonts w:ascii="Times New Roman" w:hAnsi="Times New Roman"/>
          <w:sz w:val="20"/>
        </w:rPr>
        <w:t>(e) The cancellation of such Award and a payment to the Participant with respect to each share subject to the portion of the Award that is vested or becomes vested as of the effective time of the transaction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Times New Roman" w:hAnsi="Times New Roman"/>
          <w:b/>
          <w:sz w:val="20"/>
        </w:rPr>
        <w:t>Spread</w:t>
      </w:r>
      <w:r>
        <w:rPr>
          <w:rFonts w:ascii="Times New Roman" w:hAnsi="Times New Roman"/>
          <w:sz w:val="20"/>
        </w:rPr>
        <w:t xml:space="preserve">). Such payment shall be made in the form of cash, cash equivalents, or securities of the surviving entity or its parent having a value equal to the Spread. In addition, any escrow, holdback, earn-out or similar provisions in the transaction agreement may apply to such payment to the same extent and in the same manner as such provisions apply to the holders of Common Shares. If the Spread applicable to an Award (whether or not vested) is zero or a negative number, then the Award may be cancelled without making a payment to the Participant. In the event that an Award is subject to Code Section 409A, the payment described in this clause (e) shall be made on the settlement date specified in the applicable Award Agreement, provided that settlement may be accelerated in accordance with Treasury Regulation Section 1.409A-3(j)(4); or </w:t>
      </w:r>
    </w:p>
    <w:p>
      <w:pPr>
        <w:pStyle w:val="TextBody"/>
        <w:bidi w:val="0"/>
        <w:spacing w:before="240" w:after="0"/>
        <w:jc w:val="both"/>
        <w:rPr>
          <w:rFonts w:ascii="Times New Roman" w:hAnsi="Times New Roman"/>
          <w:sz w:val="20"/>
        </w:rPr>
      </w:pPr>
      <w:r>
        <w:rPr>
          <w:rFonts w:ascii="Times New Roman" w:hAnsi="Times New Roman"/>
          <w:sz w:val="20"/>
        </w:rPr>
        <w:t xml:space="preserve">(f) 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 </w:t>
      </w:r>
    </w:p>
    <w:p>
      <w:pPr>
        <w:pStyle w:val="TextBody"/>
        <w:bidi w:val="0"/>
        <w:spacing w:before="240" w:after="0"/>
        <w:jc w:val="both"/>
        <w:rPr>
          <w:rFonts w:ascii="Times New Roman" w:hAnsi="Times New Roman"/>
          <w:sz w:val="20"/>
        </w:rPr>
      </w:pPr>
      <w:r>
        <w:rPr>
          <w:rFonts w:ascii="Times New Roman" w:hAnsi="Times New Roman"/>
          <w:sz w:val="20"/>
        </w:rPr>
        <w:t>Unless an Award Agreement provides otherwise, each outstanding Award held by a Participant who remains a Service Provider as of the effective time of a merger, consolidation or Change in Control (other than one described in Article 14.6(d)) (a </w:t>
      </w:r>
      <w:r>
        <w:rPr>
          <w:rFonts w:ascii="Times New Roman" w:hAnsi="Times New Roman"/>
          <w:b/>
          <w:sz w:val="20"/>
        </w:rPr>
        <w:t>Current Participant</w:t>
      </w:r>
      <w:r>
        <w:rPr>
          <w:rFonts w:ascii="Times New Roman" w:hAnsi="Times New Roman"/>
          <w:sz w:val="20"/>
        </w:rPr>
        <w:t xml:space="preserve">) shall become fully vested and, if applicable, exercisable immediately prior to the effective time of the transaction. However, the prior sentence shall </w:t>
      </w:r>
      <w:r>
        <w:rPr>
          <w:rFonts w:ascii="Times New Roman" w:hAnsi="Times New Roman"/>
          <w:sz w:val="20"/>
          <w:u w:val="single"/>
        </w:rPr>
        <w:t>not</w:t>
      </w:r>
      <w:r>
        <w:rPr>
          <w:rFonts w:ascii="Times New Roman" w:hAnsi="Times New Roman"/>
          <w:sz w:val="20"/>
        </w:rPr>
        <w:t xml:space="preserve"> apply, and an outstanding Award shall </w:t>
      </w:r>
      <w:r>
        <w:rPr>
          <w:rFonts w:ascii="Times New Roman" w:hAnsi="Times New Roman"/>
          <w:sz w:val="20"/>
          <w:u w:val="single"/>
        </w:rPr>
        <w:t>not</w:t>
      </w:r>
      <w:r>
        <w:rPr>
          <w:rFonts w:ascii="Times New Roman" w:hAnsi="Times New Roman"/>
          <w:sz w:val="20"/>
        </w:rPr>
        <w:t xml:space="preserve"> become vested and, if applicable, exercisable, if and to the extent the Award is continued, assumed or substituted as provided for in clauses (a), (b) or (c) above. In addition, the prior two sentences shall </w:t>
      </w:r>
      <w:r>
        <w:rPr>
          <w:rFonts w:ascii="Times New Roman" w:hAnsi="Times New Roman"/>
          <w:sz w:val="20"/>
          <w:u w:val="single"/>
        </w:rPr>
        <w:t>not</w:t>
      </w:r>
      <w:r>
        <w:rPr>
          <w:rFonts w:ascii="Times New Roman" w:hAnsi="Times New Roman"/>
          <w:sz w:val="20"/>
        </w:rPr>
        <w:t xml:space="preserve"> apply to an Award held by a Participant who is not a Current Participant, unless an Award Agreement provides otherwise or unless the Company and the acquirer agree otherwise. </w:t>
      </w:r>
    </w:p>
    <w:p>
      <w:pPr>
        <w:pStyle w:val="TextBody"/>
        <w:bidi w:val="0"/>
        <w:spacing w:before="240" w:after="0"/>
        <w:jc w:val="both"/>
        <w:rPr>
          <w:rFonts w:ascii="Times New Roman" w:hAnsi="Times New Roman"/>
          <w:sz w:val="20"/>
        </w:rPr>
      </w:pPr>
      <w:r>
        <w:rPr>
          <w:rFonts w:ascii="Times New Roman" w:hAnsi="Times New Roman"/>
          <w:sz w:val="20"/>
        </w:rPr>
        <w:t xml:space="preserve">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 </w:t>
      </w:r>
    </w:p>
    <w:p>
      <w:pPr>
        <w:pStyle w:val="TextBody"/>
        <w:bidi w:val="0"/>
        <w:spacing w:before="240" w:after="0"/>
        <w:jc w:val="both"/>
        <w:rPr>
          <w:rFonts w:ascii="Times New Roman" w:hAnsi="Times New Roman"/>
          <w:sz w:val="20"/>
        </w:rPr>
      </w:pPr>
      <w:r>
        <w:rPr>
          <w:rFonts w:ascii="Times New Roman" w:hAnsi="Times New Roman"/>
          <w:sz w:val="20"/>
        </w:rPr>
        <w:t xml:space="preserve">Any action taken under this Article 9.3 shall either preserve a Awards status as exempt from Code Section 409A or comply with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ARTICLE 10. OTHER AWARDS. </w:t>
      </w:r>
    </w:p>
    <w:p>
      <w:pPr>
        <w:pStyle w:val="TextBody"/>
        <w:bidi w:val="0"/>
        <w:spacing w:before="120" w:after="0"/>
        <w:jc w:val="both"/>
        <w:rPr>
          <w:rFonts w:ascii="Times New Roman" w:hAnsi="Times New Roman"/>
          <w:sz w:val="20"/>
        </w:rPr>
      </w:pPr>
      <w:r>
        <w:rPr>
          <w:rFonts w:ascii="Times New Roman" w:hAnsi="Times New Roman"/>
          <w:sz w:val="20"/>
        </w:rPr>
        <w:t xml:space="preserve">Subject in all events to the limitations under Article 3 above as to the number of Common Shares available for issuance under this Plan, the Company may grant other forms of Awards not specifically described herein and may grant awards under other plans or programs, where such awards are settled in the form of Common Shares issued under this Plan. Such Common Shares shall be treated for all purposes under the Plan like Common Shares issued in settlement of Restricted Stock Units and shall, when issued, reduce the number of Common Shares available under Article 3. </w:t>
      </w:r>
    </w:p>
    <w:p>
      <w:pPr>
        <w:pStyle w:val="TextBody"/>
        <w:bidi w:val="0"/>
        <w:spacing w:before="360" w:after="0"/>
        <w:jc w:val="left"/>
        <w:rPr>
          <w:rFonts w:ascii="Times New Roman" w:hAnsi="Times New Roman"/>
          <w:b/>
          <w:sz w:val="20"/>
        </w:rPr>
      </w:pPr>
      <w:r>
        <w:rPr>
          <w:rFonts w:ascii="Times New Roman" w:hAnsi="Times New Roman"/>
          <w:b/>
          <w:sz w:val="20"/>
        </w:rPr>
        <w:t xml:space="preserve">ARTICLE 11. LIMITATION ON RIGHTS. </w:t>
      </w:r>
    </w:p>
    <w:p>
      <w:pPr>
        <w:pStyle w:val="TextBody"/>
        <w:bidi w:val="0"/>
        <w:spacing w:before="120" w:after="0"/>
        <w:jc w:val="both"/>
        <w:rPr>
          <w:rFonts w:ascii="Times New Roman" w:hAnsi="Times New Roman"/>
          <w:sz w:val="20"/>
        </w:rPr>
      </w:pPr>
      <w:r>
        <w:rPr>
          <w:rFonts w:ascii="Times New Roman" w:hAnsi="Times New Roman"/>
          <w:b/>
          <w:sz w:val="20"/>
        </w:rPr>
        <w:t>11.1 Retention Rights</w:t>
      </w:r>
      <w:r>
        <w:rPr>
          <w:rFonts w:ascii="Times New Roman" w:hAnsi="Times New Roman"/>
          <w:sz w:val="20"/>
        </w:rPr>
        <w:t xml:space="preserve">. Neither the Plan nor any Award granted under the Plan shall be deemed to give any individual a right to remain a Service 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 </w:t>
      </w:r>
    </w:p>
    <w:p>
      <w:pPr>
        <w:pStyle w:val="TextBody"/>
        <w:bidi w:val="0"/>
        <w:spacing w:before="240" w:after="0"/>
        <w:jc w:val="both"/>
        <w:rPr>
          <w:rFonts w:ascii="Times New Roman" w:hAnsi="Times New Roman"/>
          <w:sz w:val="20"/>
        </w:rPr>
      </w:pPr>
      <w:r>
        <w:rPr>
          <w:rFonts w:ascii="Times New Roman" w:hAnsi="Times New Roman"/>
          <w:b/>
          <w:sz w:val="20"/>
        </w:rPr>
        <w:t>11.2 Stockholders Rights</w:t>
      </w:r>
      <w:r>
        <w:rPr>
          <w:rFonts w:ascii="Times New Roman" w:hAnsi="Times New Roman"/>
          <w:sz w:val="20"/>
        </w:rPr>
        <w:t xml:space="preserve">. Except as set forth in Article 7.4 or 8.4 above, a Participant shall have no dividend rights, voting rights or other rights as a 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 </w:t>
      </w:r>
    </w:p>
    <w:p>
      <w:pPr>
        <w:pStyle w:val="TextBody"/>
        <w:bidi w:val="0"/>
        <w:spacing w:before="240" w:after="0"/>
        <w:jc w:val="both"/>
        <w:rPr>
          <w:rFonts w:ascii="Times New Roman" w:hAnsi="Times New Roman"/>
          <w:sz w:val="20"/>
        </w:rPr>
      </w:pPr>
      <w:r>
        <w:rPr>
          <w:rFonts w:ascii="Times New Roman" w:hAnsi="Times New Roman"/>
          <w:b/>
          <w:sz w:val="20"/>
        </w:rPr>
        <w:t>11.3 Regulatory Requirements</w:t>
      </w:r>
      <w:r>
        <w:rPr>
          <w:rFonts w:ascii="Times New Roman" w:hAnsi="Times New Roman"/>
          <w:sz w:val="20"/>
        </w:rPr>
        <w:t xml:space="preserve">. Any other provision of the Plan notwithstanding, the obligation of the Company to issue Common Shares 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 </w:t>
      </w:r>
    </w:p>
    <w:p>
      <w:pPr>
        <w:pStyle w:val="TextBody"/>
        <w:bidi w:val="0"/>
        <w:spacing w:before="240" w:after="0"/>
        <w:jc w:val="both"/>
        <w:rPr>
          <w:rFonts w:ascii="Times New Roman" w:hAnsi="Times New Roman"/>
          <w:sz w:val="20"/>
        </w:rPr>
      </w:pPr>
      <w:r>
        <w:rPr>
          <w:rFonts w:ascii="Times New Roman" w:hAnsi="Times New Roman"/>
          <w:b/>
          <w:sz w:val="20"/>
        </w:rPr>
        <w:t xml:space="preserve">11.4 Transferability of Awards. </w:t>
      </w:r>
      <w:r>
        <w:rPr>
          <w:rFonts w:ascii="Times New Roman" w:hAnsi="Times New Roman"/>
          <w:sz w:val="20"/>
        </w:rPr>
        <w:t xml:space="preserve">The Administrator may, in its sole discretion, permit transfer of an Award in a manner consistent with applicable law. Unless otherwise determined by the Administrator, Awards shall be transferable by a Participant only by (a) beneficiary designation, (b) a will or (c) the laws of descent and distribution; </w:t>
      </w:r>
      <w:r>
        <w:rPr>
          <w:rFonts w:ascii="Times New Roman" w:hAnsi="Times New Roman"/>
          <w:sz w:val="20"/>
          <w:u w:val="single"/>
        </w:rPr>
        <w:t>provided</w:t>
      </w:r>
      <w:r>
        <w:rPr>
          <w:rFonts w:ascii="Times New Roman" w:hAnsi="Times New Roman"/>
          <w:sz w:val="20"/>
        </w:rPr>
        <w:t xml:space="preserve"> that, in any event, an ISO may only be transferred by will or by the laws of descent and distribution and may be exercised during the lifetime of the Optionee only by the Optionee or by the Optionees guardian or legal representative </w:t>
      </w:r>
    </w:p>
    <w:p>
      <w:pPr>
        <w:pStyle w:val="TextBody"/>
        <w:bidi w:val="0"/>
        <w:spacing w:before="240" w:after="0"/>
        <w:jc w:val="both"/>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sz w:val="20"/>
        </w:rPr>
        <w:t>Recoupment Policy</w:t>
      </w:r>
      <w:r>
        <w:rPr>
          <w:rFonts w:ascii="Times New Roman" w:hAnsi="Times New Roman"/>
          <w:sz w:val="20"/>
        </w:rPr>
        <w:t xml:space="preserve">. All Awards granted under the Plan, all amounts paid under the Plan and all Common Shares issued under the Plan shall be subject to recoupment, clawback or recovery by the Company in accordance with applicable law and with Company policy (whenever adopted) regarding same, whether or not such policy is intended to satisfy the requirements of the Dodd-Frank Wall Street Reform and Consumer Protection Act, the Sarbanes-Oxley Act, or other applicable law, as well as any implementing regulations and/or listing standards thereunder. </w:t>
      </w:r>
    </w:p>
    <w:p>
      <w:pPr>
        <w:pStyle w:val="TextBody"/>
        <w:bidi w:val="0"/>
        <w:spacing w:before="240" w:after="0"/>
        <w:jc w:val="both"/>
        <w:rPr>
          <w:rFonts w:ascii="Times New Roman" w:hAnsi="Times New Roman"/>
          <w:sz w:val="20"/>
        </w:rPr>
      </w:pPr>
      <w:r>
        <w:rPr>
          <w:rFonts w:ascii="Times New Roman" w:hAnsi="Times New Roman"/>
          <w:b/>
          <w:sz w:val="20"/>
        </w:rPr>
        <w:t>11.6 Other Conditions and Restrictions on Common Shares</w:t>
      </w:r>
      <w:r>
        <w:rPr>
          <w:rFonts w:ascii="Times New Roman" w:hAnsi="Times New Roman"/>
          <w:sz w:val="20"/>
        </w:rPr>
        <w:t xml:space="preserve">. Any Common Shares issued under the Plan shall be subject to such forfeiture conditions, 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t>
      </w:r>
    </w:p>
    <w:p>
      <w:pPr>
        <w:pStyle w:val="TextBody"/>
        <w:bidi w:val="0"/>
        <w:spacing w:before="360" w:after="0"/>
        <w:jc w:val="left"/>
        <w:rPr>
          <w:rFonts w:ascii="Times New Roman" w:hAnsi="Times New Roman"/>
          <w:b/>
          <w:sz w:val="20"/>
        </w:rPr>
      </w:pPr>
      <w:r>
        <w:rPr>
          <w:rFonts w:ascii="Times New Roman" w:hAnsi="Times New Roman"/>
          <w:b/>
          <w:sz w:val="20"/>
        </w:rPr>
        <w:t xml:space="preserve">ARTICLE 12. TAXES. </w:t>
      </w:r>
    </w:p>
    <w:p>
      <w:pPr>
        <w:pStyle w:val="TextBody"/>
        <w:bidi w:val="0"/>
        <w:spacing w:before="120" w:after="0"/>
        <w:jc w:val="both"/>
        <w:rPr>
          <w:rFonts w:ascii="Times New Roman" w:hAnsi="Times New Roman"/>
          <w:sz w:val="20"/>
        </w:rPr>
      </w:pPr>
      <w:r>
        <w:rPr>
          <w:rFonts w:ascii="Times New Roman" w:hAnsi="Times New Roman"/>
          <w:b/>
          <w:sz w:val="20"/>
        </w:rPr>
        <w:t>12.1 General</w:t>
      </w:r>
      <w:r>
        <w:rPr>
          <w:rFonts w:ascii="Times New Roman" w:hAnsi="Times New Roman"/>
          <w:sz w:val="20"/>
        </w:rPr>
        <w:t xml:space="preserve">. It is a condition to each Award under the Plan that a Participant or his or her successor shall make arrangements satisfactory to the Company for the satisfaction of any federal, state, local or foreign withholding tax obligations that arise in connection with any Award granted under the Plan. The Company shall not be required to issue any Common Shares or make any cash payment under the Plan unless such obligations are satisfied. </w:t>
      </w:r>
    </w:p>
    <w:p>
      <w:pPr>
        <w:pStyle w:val="TextBody"/>
        <w:bidi w:val="0"/>
        <w:spacing w:before="240" w:after="0"/>
        <w:jc w:val="both"/>
        <w:rPr>
          <w:rFonts w:ascii="Times New Roman" w:hAnsi="Times New Roman"/>
          <w:sz w:val="20"/>
        </w:rPr>
      </w:pPr>
      <w:r>
        <w:rPr>
          <w:rFonts w:ascii="Times New Roman" w:hAnsi="Times New Roman"/>
          <w:b/>
          <w:sz w:val="20"/>
        </w:rPr>
        <w:t>12.2 Share Withholding</w:t>
      </w:r>
      <w:r>
        <w:rPr>
          <w:rFonts w:ascii="Times New Roman" w:hAnsi="Times New Roman"/>
          <w:sz w:val="20"/>
        </w:rPr>
        <w:t xml:space="preserve">. To the extent that applicable law subjects a Participant to tax withholding obligations, the Administrator may permit 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 </w:t>
      </w:r>
    </w:p>
    <w:p>
      <w:pPr>
        <w:pStyle w:val="TextBody"/>
        <w:bidi w:val="0"/>
        <w:spacing w:before="240" w:after="0"/>
        <w:jc w:val="both"/>
        <w:rPr>
          <w:rFonts w:ascii="Times New Roman" w:hAnsi="Times New Roman"/>
          <w:sz w:val="20"/>
        </w:rPr>
      </w:pPr>
      <w:r>
        <w:rPr>
          <w:rFonts w:ascii="Times New Roman" w:hAnsi="Times New Roman"/>
          <w:b/>
          <w:sz w:val="20"/>
        </w:rPr>
        <w:t>12.3 Section</w:t>
      </w:r>
      <w:r>
        <w:rPr>
          <w:rFonts w:ascii="Times New Roman" w:hAnsi="Times New Roman"/>
          <w:sz w:val="20"/>
        </w:rPr>
        <w:t> </w:t>
      </w:r>
      <w:r>
        <w:rPr>
          <w:rFonts w:ascii="Times New Roman" w:hAnsi="Times New Roman"/>
          <w:b/>
          <w:sz w:val="20"/>
        </w:rPr>
        <w:t>409A Matters</w:t>
      </w:r>
      <w:r>
        <w:rPr>
          <w:rFonts w:ascii="Times New Roman" w:hAnsi="Times New Roman"/>
          <w:sz w:val="20"/>
        </w:rPr>
        <w:t>. Except as otherwise expressly set forth in an Award Agreement, it is intended that Awards granted under the Plan either be exempt from, or comply with, the requirements of Code Section 409A. To the extent an Award is subject to Code Section 409A (a </w:t>
      </w:r>
      <w:r>
        <w:rPr>
          <w:rFonts w:ascii="Times New Roman" w:hAnsi="Times New Roman"/>
          <w:b/>
          <w:sz w:val="20"/>
        </w:rPr>
        <w:t>409A Award</w:t>
      </w:r>
      <w:r>
        <w:rPr>
          <w:rFonts w:ascii="Times New Roman" w:hAnsi="Times New Roman"/>
          <w:sz w:val="20"/>
        </w:rPr>
        <w:t xml:space="preserve">), the terms of the Plan, the Award and any written agreement governing the Award shall be interpreted to comply with the requirements of Code 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 </w:t>
      </w:r>
    </w:p>
    <w:p>
      <w:pPr>
        <w:pStyle w:val="TextBody"/>
        <w:bidi w:val="0"/>
        <w:spacing w:before="240" w:after="0"/>
        <w:jc w:val="both"/>
        <w:rPr>
          <w:rFonts w:ascii="Times New Roman" w:hAnsi="Times New Roman"/>
          <w:sz w:val="20"/>
        </w:rPr>
      </w:pPr>
      <w:r>
        <w:rPr>
          <w:rFonts w:ascii="Times New Roman" w:hAnsi="Times New Roman"/>
          <w:b/>
          <w:sz w:val="20"/>
        </w:rPr>
        <w:t>12.4 Limitation on Liability</w:t>
      </w:r>
      <w:r>
        <w:rPr>
          <w:rFonts w:ascii="Times New Roman" w:hAnsi="Times New Roman"/>
          <w:sz w:val="20"/>
        </w:rPr>
        <w:t xml:space="preserve">. Neither the Company nor any person serving as Administrator shall have any liability to a Participant in the event an Award held by the Participant fails to achieve its intended characterization under applicable tax law. </w:t>
      </w:r>
    </w:p>
    <w:p>
      <w:pPr>
        <w:pStyle w:val="TextBody"/>
        <w:bidi w:val="0"/>
        <w:spacing w:before="360" w:after="0"/>
        <w:jc w:val="left"/>
        <w:rPr>
          <w:rFonts w:ascii="Times New Roman" w:hAnsi="Times New Roman"/>
          <w:b/>
          <w:sz w:val="20"/>
        </w:rPr>
      </w:pPr>
      <w:r>
        <w:rPr>
          <w:rFonts w:ascii="Times New Roman" w:hAnsi="Times New Roman"/>
          <w:b/>
          <w:sz w:val="20"/>
        </w:rPr>
        <w:t xml:space="preserve">ARTICLE 13. FUTURE OF THE PLAN. </w:t>
      </w:r>
    </w:p>
    <w:p>
      <w:pPr>
        <w:pStyle w:val="TextBody"/>
        <w:bidi w:val="0"/>
        <w:spacing w:before="240" w:after="0"/>
        <w:jc w:val="both"/>
        <w:rPr>
          <w:rFonts w:ascii="Times New Roman" w:hAnsi="Times New Roman"/>
          <w:sz w:val="20"/>
        </w:rPr>
      </w:pPr>
      <w:r>
        <w:rPr>
          <w:rFonts w:ascii="Times New Roman" w:hAnsi="Times New Roman"/>
          <w:b/>
          <w:sz w:val="20"/>
        </w:rPr>
        <w:t>13.1 Term of the Plan</w:t>
      </w:r>
      <w:r>
        <w:rPr>
          <w:rFonts w:ascii="Times New Roman" w:hAnsi="Times New Roman"/>
          <w:sz w:val="20"/>
        </w:rPr>
        <w:t xml:space="preserve">. The Plan, as set forth herein, shall become effective on date of its adoption by the Board, subject to approval of the Companys stockholders under Article 13.3 below. The Plan shall terminate automatically 10 years after the date when the Board adopted the Plan. </w:t>
      </w:r>
    </w:p>
    <w:p>
      <w:pPr>
        <w:pStyle w:val="TextBody"/>
        <w:bidi w:val="0"/>
        <w:spacing w:before="240" w:after="0"/>
        <w:jc w:val="both"/>
        <w:rPr>
          <w:rFonts w:ascii="Times New Roman" w:hAnsi="Times New Roman"/>
          <w:sz w:val="20"/>
        </w:rPr>
      </w:pPr>
      <w:r>
        <w:rPr>
          <w:rFonts w:ascii="Times New Roman" w:hAnsi="Times New Roman"/>
          <w:b/>
          <w:sz w:val="20"/>
        </w:rPr>
        <w:t>13.2 Amendment or Termination</w:t>
      </w:r>
      <w:r>
        <w:rPr>
          <w:rFonts w:ascii="Times New Roman" w:hAnsi="Times New Roman"/>
          <w:sz w:val="20"/>
        </w:rPr>
        <w:t xml:space="preserve">. The Board may, at any time and for any reason, amend or terminate the Plan. No Awards shall be granted under the Plan after the termination thereof. The termination of the Plan, or any amendment thereof, shall not affect any Award previously granted under the Plan. </w:t>
      </w:r>
    </w:p>
    <w:p>
      <w:pPr>
        <w:pStyle w:val="TextBody"/>
        <w:bidi w:val="0"/>
        <w:spacing w:before="240" w:after="0"/>
        <w:jc w:val="both"/>
        <w:rPr>
          <w:rFonts w:ascii="Times New Roman" w:hAnsi="Times New Roman"/>
          <w:sz w:val="20"/>
        </w:rPr>
      </w:pPr>
      <w:r>
        <w:rPr>
          <w:rFonts w:ascii="Times New Roman" w:hAnsi="Times New Roman"/>
          <w:b/>
          <w:sz w:val="20"/>
        </w:rPr>
        <w:t>13.3 Stockholder Approval</w:t>
      </w:r>
      <w:r>
        <w:rPr>
          <w:rFonts w:ascii="Times New Roman" w:hAnsi="Times New Roman"/>
          <w:sz w:val="20"/>
        </w:rPr>
        <w:t xml:space="preserve">. To the extent required by applicable law, the Plan will be subject to the approval of the Companys stockholders within 12 months of its adoption date. An amendment of the Plan shall be subject to the approval of the Companys stockholders only to the extent required by applicable laws, regulations or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ARTICLE 14. DEFINITIONS. </w:t>
      </w:r>
    </w:p>
    <w:p>
      <w:pPr>
        <w:pStyle w:val="TextBody"/>
        <w:bidi w:val="0"/>
        <w:spacing w:before="120" w:after="0"/>
        <w:jc w:val="both"/>
        <w:rPr>
          <w:rFonts w:ascii="Times New Roman" w:hAnsi="Times New Roman"/>
          <w:sz w:val="20"/>
        </w:rPr>
      </w:pPr>
      <w:r>
        <w:rPr>
          <w:rFonts w:ascii="Times New Roman" w:hAnsi="Times New Roman"/>
          <w:b/>
          <w:sz w:val="20"/>
        </w:rPr>
        <w:t xml:space="preserve">14.1 </w:t>
      </w:r>
      <w:r>
        <w:rPr>
          <w:rFonts w:ascii="Times New Roman" w:hAnsi="Times New Roman"/>
          <w:sz w:val="20"/>
        </w:rPr>
        <w:t></w:t>
      </w:r>
      <w:r>
        <w:rPr>
          <w:rFonts w:ascii="Times New Roman" w:hAnsi="Times New Roman"/>
          <w:b/>
          <w:sz w:val="20"/>
        </w:rPr>
        <w:t xml:space="preserve">Administrator </w:t>
      </w:r>
      <w:r>
        <w:rPr>
          <w:rFonts w:ascii="Times New Roman" w:hAnsi="Times New Roman"/>
          <w:sz w:val="20"/>
        </w:rPr>
        <w:t xml:space="preserve">means the Board or any Committee administering the Plan in accordance with Article 2. </w:t>
      </w:r>
    </w:p>
    <w:p>
      <w:pPr>
        <w:pStyle w:val="TextBody"/>
        <w:bidi w:val="0"/>
        <w:spacing w:before="240" w:after="0"/>
        <w:jc w:val="both"/>
        <w:rPr>
          <w:rFonts w:ascii="Times New Roman" w:hAnsi="Times New Roman"/>
          <w:sz w:val="20"/>
        </w:rPr>
      </w:pPr>
      <w:r>
        <w:rPr>
          <w:rFonts w:ascii="Times New Roman" w:hAnsi="Times New Roman"/>
          <w:b/>
          <w:sz w:val="20"/>
        </w:rPr>
        <w:t xml:space="preserve">14.2 </w:t>
      </w:r>
      <w:r>
        <w:rPr>
          <w:rFonts w:ascii="Times New Roman" w:hAnsi="Times New Roman"/>
          <w:sz w:val="20"/>
        </w:rPr>
        <w:t></w:t>
      </w:r>
      <w:r>
        <w:rPr>
          <w:rFonts w:ascii="Times New Roman" w:hAnsi="Times New Roman"/>
          <w:b/>
          <w:sz w:val="20"/>
        </w:rPr>
        <w:t>Affiliate</w:t>
      </w:r>
      <w:r>
        <w:rPr>
          <w:rFonts w:ascii="Times New Roman" w:hAnsi="Times New Roman"/>
          <w:sz w:val="20"/>
        </w:rPr>
        <w:t xml:space="preserve"> means any entity other than a Subsidiary, if the Company and/or one or more Subsidiaries own not less than 50% of such entity. </w:t>
      </w:r>
    </w:p>
    <w:p>
      <w:pPr>
        <w:pStyle w:val="TextBody"/>
        <w:bidi w:val="0"/>
        <w:spacing w:before="240" w:after="0"/>
        <w:jc w:val="both"/>
        <w:rPr>
          <w:rFonts w:ascii="Times New Roman" w:hAnsi="Times New Roman"/>
          <w:sz w:val="20"/>
        </w:rPr>
      </w:pPr>
      <w:r>
        <w:rPr>
          <w:rFonts w:ascii="Times New Roman" w:hAnsi="Times New Roman"/>
          <w:b/>
          <w:sz w:val="20"/>
        </w:rPr>
        <w:t xml:space="preserve">14.3 </w:t>
      </w:r>
      <w:r>
        <w:rPr>
          <w:rFonts w:ascii="Times New Roman" w:hAnsi="Times New Roman"/>
          <w:sz w:val="20"/>
        </w:rPr>
        <w:t></w:t>
      </w:r>
      <w:r>
        <w:rPr>
          <w:rFonts w:ascii="Times New Roman" w:hAnsi="Times New Roman"/>
          <w:b/>
          <w:sz w:val="20"/>
        </w:rPr>
        <w:t>Award</w:t>
      </w:r>
      <w:r>
        <w:rPr>
          <w:rFonts w:ascii="Times New Roman" w:hAnsi="Times New Roman"/>
          <w:sz w:val="20"/>
        </w:rPr>
        <w:t xml:space="preserve"> means any award granted under the Plan, including as an Option, a SAR, a Restricted Share award, a Restricted Stock Unit award or another form of equity-based compensation award. </w:t>
      </w:r>
    </w:p>
    <w:p>
      <w:pPr>
        <w:pStyle w:val="TextBody"/>
        <w:bidi w:val="0"/>
        <w:spacing w:before="240" w:after="0"/>
        <w:jc w:val="both"/>
        <w:rPr>
          <w:rFonts w:ascii="Times New Roman" w:hAnsi="Times New Roman"/>
          <w:sz w:val="20"/>
        </w:rPr>
      </w:pPr>
      <w:r>
        <w:rPr>
          <w:rFonts w:ascii="Times New Roman" w:hAnsi="Times New Roman"/>
          <w:b/>
          <w:sz w:val="20"/>
        </w:rPr>
        <w:t xml:space="preserve">14.4 </w:t>
      </w:r>
      <w:r>
        <w:rPr>
          <w:rFonts w:ascii="Times New Roman" w:hAnsi="Times New Roman"/>
          <w:sz w:val="20"/>
        </w:rPr>
        <w:t></w:t>
      </w:r>
      <w:r>
        <w:rPr>
          <w:rFonts w:ascii="Times New Roman" w:hAnsi="Times New Roman"/>
          <w:b/>
          <w:sz w:val="20"/>
        </w:rPr>
        <w:t>Award Agreement</w:t>
      </w:r>
      <w:r>
        <w:rPr>
          <w:rFonts w:ascii="Times New Roman" w:hAnsi="Times New Roman"/>
          <w:sz w:val="20"/>
        </w:rPr>
        <w:t xml:space="preserve"> means a Stock Option Agreement, a SAR Agreement, a Restricted Stock Agreement, a Restricted Stock Unit Agreement or such other agreement evidencing an Award granted under the Plan. </w:t>
      </w:r>
    </w:p>
    <w:p>
      <w:pPr>
        <w:pStyle w:val="TextBody"/>
        <w:bidi w:val="0"/>
        <w:spacing w:before="240" w:after="0"/>
        <w:jc w:val="both"/>
        <w:rPr>
          <w:rFonts w:ascii="Times New Roman" w:hAnsi="Times New Roman"/>
          <w:sz w:val="20"/>
        </w:rPr>
      </w:pPr>
      <w:r>
        <w:rPr>
          <w:rFonts w:ascii="Times New Roman" w:hAnsi="Times New Roman"/>
          <w:b/>
          <w:sz w:val="20"/>
        </w:rPr>
        <w:t xml:space="preserve">14.5 </w:t>
      </w:r>
      <w:r>
        <w:rPr>
          <w:rFonts w:ascii="Times New Roman" w:hAnsi="Times New Roman"/>
          <w:sz w:val="20"/>
        </w:rPr>
        <w:t></w:t>
      </w:r>
      <w:r>
        <w:rPr>
          <w:rFonts w:ascii="Times New Roman" w:hAnsi="Times New Roman"/>
          <w:b/>
          <w:sz w:val="20"/>
        </w:rPr>
        <w:t>Board</w:t>
      </w:r>
      <w:r>
        <w:rPr>
          <w:rFonts w:ascii="Times New Roman" w:hAnsi="Times New Roman"/>
          <w:sz w:val="20"/>
        </w:rPr>
        <w:t xml:space="preserve"> means the Companys Board of Directors, as constituted from time to time and, where the context so requires, reference to the Board may refer to a Committee to whom the Board has delegated authority to administer any aspect of this Plan. </w:t>
      </w:r>
    </w:p>
    <w:p>
      <w:pPr>
        <w:pStyle w:val="TextBody"/>
        <w:bidi w:val="0"/>
        <w:spacing w:before="240" w:after="0"/>
        <w:jc w:val="both"/>
        <w:rPr>
          <w:rFonts w:ascii="Times New Roman" w:hAnsi="Times New Roman"/>
          <w:sz w:val="20"/>
        </w:rPr>
      </w:pPr>
      <w:r>
        <w:rPr>
          <w:rFonts w:ascii="Times New Roman" w:hAnsi="Times New Roman"/>
          <w:b/>
          <w:sz w:val="20"/>
        </w:rPr>
        <w:t xml:space="preserve">14.6 </w:t>
      </w:r>
      <w:r>
        <w:rPr>
          <w:rFonts w:ascii="Times New Roman" w:hAnsi="Times New Roman"/>
          <w:sz w:val="20"/>
        </w:rPr>
        <w:t></w:t>
      </w:r>
      <w:r>
        <w:rPr>
          <w:rFonts w:ascii="Times New Roman" w:hAnsi="Times New Roman"/>
          <w:b/>
          <w:sz w:val="20"/>
        </w:rPr>
        <w:t>Business Combination Date</w:t>
      </w:r>
      <w:r>
        <w:rPr>
          <w:rFonts w:ascii="Times New Roman" w:hAnsi="Times New Roman"/>
          <w:sz w:val="20"/>
        </w:rPr>
        <w:t xml:space="preserve"> means the date of the closing of the merger, as contemplated by that agreement and plan of merger, dated as of July 2, 2020, by and among Graf Industrial Corp., a Delaware corporation, VL Merger Sub Inc., a Delaware corporation, and Velodyne LiDAR, Inc., a Delaware corporation. </w:t>
      </w:r>
    </w:p>
    <w:p>
      <w:pPr>
        <w:pStyle w:val="TextBody"/>
        <w:bidi w:val="0"/>
        <w:spacing w:before="240" w:after="0"/>
        <w:jc w:val="both"/>
        <w:rPr>
          <w:rFonts w:ascii="Times New Roman" w:hAnsi="Times New Roman"/>
          <w:sz w:val="20"/>
        </w:rPr>
      </w:pPr>
      <w:r>
        <w:rPr>
          <w:rFonts w:ascii="Times New Roman" w:hAnsi="Times New Roman"/>
          <w:b/>
          <w:sz w:val="20"/>
        </w:rPr>
        <w:t xml:space="preserve">14.7 </w:t>
      </w:r>
      <w:r>
        <w:rPr>
          <w:rFonts w:ascii="Times New Roman" w:hAnsi="Times New Roman"/>
          <w:sz w:val="20"/>
        </w:rPr>
        <w:t></w:t>
      </w:r>
      <w:r>
        <w:rPr>
          <w:rFonts w:ascii="Times New Roman" w:hAnsi="Times New Roman"/>
          <w:b/>
          <w:sz w:val="20"/>
        </w:rPr>
        <w:t>Change in Control</w:t>
      </w:r>
      <w:r>
        <w:rPr>
          <w:rFonts w:ascii="Times New Roman" w:hAnsi="Times New Roman"/>
          <w:sz w:val="20"/>
        </w:rPr>
        <w:t xml:space="preserve"> means: </w:t>
      </w:r>
    </w:p>
    <w:p>
      <w:pPr>
        <w:pStyle w:val="TextBody"/>
        <w:bidi w:val="0"/>
        <w:spacing w:before="240" w:after="0"/>
        <w:jc w:val="both"/>
        <w:rPr>
          <w:rFonts w:ascii="Times New Roman" w:hAnsi="Times New Roman"/>
          <w:sz w:val="20"/>
        </w:rPr>
      </w:pPr>
      <w:r>
        <w:rPr>
          <w:rFonts w:ascii="Times New Roman" w:hAnsi="Times New Roman"/>
          <w:sz w:val="20"/>
        </w:rPr>
        <w:t xml:space="preserve">(a)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w:t>
      </w:r>
    </w:p>
    <w:p>
      <w:pPr>
        <w:pStyle w:val="TextBody"/>
        <w:bidi w:val="0"/>
        <w:spacing w:before="240" w:after="0"/>
        <w:jc w:val="both"/>
        <w:rPr>
          <w:rFonts w:ascii="Times New Roman" w:hAnsi="Times New Roman"/>
          <w:sz w:val="20"/>
        </w:rPr>
      </w:pPr>
      <w:r>
        <w:rPr>
          <w:rFonts w:ascii="Times New Roman" w:hAnsi="Times New Roman"/>
          <w:sz w:val="20"/>
        </w:rPr>
        <w:t xml:space="preserve">(b) The consummation of the sale or disposition by the Company of all or substantially all of the Companys assets; </w:t>
      </w:r>
    </w:p>
    <w:p>
      <w:pPr>
        <w:pStyle w:val="TextBody"/>
        <w:bidi w:val="0"/>
        <w:spacing w:before="240" w:after="0"/>
        <w:jc w:val="both"/>
        <w:rPr>
          <w:rFonts w:ascii="Times New Roman" w:hAnsi="Times New Roman"/>
          <w:sz w:val="20"/>
        </w:rPr>
      </w:pPr>
      <w:r>
        <w:rPr>
          <w:rFonts w:ascii="Times New Roman" w:hAnsi="Times New Roman"/>
          <w:sz w:val="20"/>
        </w:rPr>
        <w:t xml:space="preserve">(c)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w:t>
      </w:r>
    </w:p>
    <w:p>
      <w:pPr>
        <w:pStyle w:val="TextBody"/>
        <w:bidi w:val="0"/>
        <w:spacing w:before="240" w:after="0"/>
        <w:jc w:val="both"/>
        <w:rPr>
          <w:rFonts w:ascii="Times New Roman" w:hAnsi="Times New Roman"/>
          <w:sz w:val="20"/>
        </w:rPr>
      </w:pPr>
      <w:r>
        <w:rPr>
          <w:rFonts w:ascii="Times New Roman" w:hAnsi="Times New Roman"/>
          <w:sz w:val="20"/>
        </w:rPr>
        <w:t>(d) Individuals who are members of the Board (the </w:t>
      </w:r>
      <w:r>
        <w:rPr>
          <w:rFonts w:ascii="Times New Roman" w:hAnsi="Times New Roman"/>
          <w:b/>
          <w:sz w:val="20"/>
        </w:rPr>
        <w:t>Incumbent Board</w:t>
      </w:r>
      <w:r>
        <w:rPr>
          <w:rFonts w:ascii="Times New Roman" w:hAnsi="Times New Roman"/>
          <w:sz w:val="20"/>
        </w:rPr>
        <w:t xml:space="preserve">)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both"/>
        <w:rPr>
          <w:rFonts w:ascii="Times New Roman" w:hAnsi="Times New Roman"/>
          <w:sz w:val="20"/>
        </w:rPr>
      </w:pPr>
      <w:r>
        <w:rPr>
          <w:rFonts w:ascii="Times New Roman" w:hAnsi="Times New Roman"/>
          <w:sz w:val="20"/>
        </w:rPr>
        <w:t xml:space="preserve">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 xml:space="preserve">14.8 </w:t>
      </w:r>
      <w:r>
        <w:rPr>
          <w:rFonts w:ascii="Times New Roman" w:hAnsi="Times New Roman"/>
          <w:sz w:val="20"/>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both"/>
        <w:rPr>
          <w:rFonts w:ascii="Times New Roman" w:hAnsi="Times New Roman"/>
          <w:sz w:val="20"/>
        </w:rPr>
      </w:pPr>
      <w:r>
        <w:rPr>
          <w:rFonts w:ascii="Times New Roman" w:hAnsi="Times New Roman"/>
          <w:b/>
          <w:sz w:val="20"/>
        </w:rPr>
        <w:t xml:space="preserve">14.9 </w:t>
      </w:r>
      <w:r>
        <w:rPr>
          <w:rFonts w:ascii="Times New Roman" w:hAnsi="Times New Roman"/>
          <w:sz w:val="20"/>
        </w:rPr>
        <w:t></w:t>
      </w:r>
      <w:r>
        <w:rPr>
          <w:rFonts w:ascii="Times New Roman" w:hAnsi="Times New Roman"/>
          <w:b/>
          <w:sz w:val="20"/>
        </w:rPr>
        <w:t>Committee</w:t>
      </w:r>
      <w:r>
        <w:rPr>
          <w:rFonts w:ascii="Times New Roman" w:hAnsi="Times New Roman"/>
          <w:sz w:val="20"/>
        </w:rPr>
        <w:t xml:space="preserve"> means a committee of one or more members of the Board, or of other individuals satisfying applicable laws, appointed by the Board to administer the Plan. </w:t>
      </w:r>
    </w:p>
    <w:p>
      <w:pPr>
        <w:pStyle w:val="TextBody"/>
        <w:bidi w:val="0"/>
        <w:spacing w:before="240" w:after="0"/>
        <w:jc w:val="both"/>
        <w:rPr>
          <w:rFonts w:ascii="Times New Roman" w:hAnsi="Times New Roman"/>
          <w:sz w:val="20"/>
        </w:rPr>
      </w:pPr>
      <w:r>
        <w:rPr>
          <w:rFonts w:ascii="Times New Roman" w:hAnsi="Times New Roman"/>
          <w:b/>
          <w:sz w:val="20"/>
        </w:rPr>
        <w:t xml:space="preserve">14.10 </w:t>
      </w:r>
      <w:r>
        <w:rPr>
          <w:rFonts w:ascii="Times New Roman" w:hAnsi="Times New Roman"/>
          <w:sz w:val="20"/>
        </w:rPr>
        <w:t></w:t>
      </w:r>
      <w:r>
        <w:rPr>
          <w:rFonts w:ascii="Times New Roman" w:hAnsi="Times New Roman"/>
          <w:b/>
          <w:sz w:val="20"/>
        </w:rPr>
        <w:t>Common Share</w:t>
      </w:r>
      <w:r>
        <w:rPr>
          <w:rFonts w:ascii="Times New Roman" w:hAnsi="Times New Roman"/>
          <w:sz w:val="20"/>
        </w:rPr>
        <w:t xml:space="preserve"> means one share of the Companys common stock. </w:t>
      </w:r>
    </w:p>
    <w:p>
      <w:pPr>
        <w:pStyle w:val="TextBody"/>
        <w:bidi w:val="0"/>
        <w:spacing w:before="240" w:after="0"/>
        <w:jc w:val="both"/>
        <w:rPr>
          <w:rFonts w:ascii="Times New Roman" w:hAnsi="Times New Roman"/>
          <w:sz w:val="20"/>
        </w:rPr>
      </w:pPr>
      <w:r>
        <w:rPr>
          <w:rFonts w:ascii="Times New Roman" w:hAnsi="Times New Roman"/>
          <w:b/>
          <w:sz w:val="20"/>
        </w:rPr>
        <w:t xml:space="preserve">14.11 </w:t>
      </w: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Velodyne LiDAR, Inc., a Delaware corporation. </w:t>
      </w:r>
    </w:p>
    <w:p>
      <w:pPr>
        <w:pStyle w:val="TextBody"/>
        <w:bidi w:val="0"/>
        <w:spacing w:before="240" w:after="0"/>
        <w:jc w:val="both"/>
        <w:rPr>
          <w:rFonts w:ascii="Times New Roman" w:hAnsi="Times New Roman"/>
          <w:sz w:val="20"/>
        </w:rPr>
      </w:pPr>
      <w:r>
        <w:rPr>
          <w:rFonts w:ascii="Times New Roman" w:hAnsi="Times New Roman"/>
          <w:b/>
          <w:sz w:val="20"/>
        </w:rPr>
        <w:t xml:space="preserve">14.12 </w:t>
      </w:r>
      <w:r>
        <w:rPr>
          <w:rFonts w:ascii="Times New Roman" w:hAnsi="Times New Roman"/>
          <w:sz w:val="20"/>
        </w:rPr>
        <w:t></w:t>
      </w:r>
      <w:r>
        <w:rPr>
          <w:rFonts w:ascii="Times New Roman" w:hAnsi="Times New Roman"/>
          <w:b/>
          <w:sz w:val="20"/>
        </w:rPr>
        <w:t>Consultant</w:t>
      </w:r>
      <w:r>
        <w:rPr>
          <w:rFonts w:ascii="Times New Roman" w:hAnsi="Times New Roman"/>
          <w:sz w:val="20"/>
        </w:rPr>
        <w:t xml:space="preserve"> means a consultant or adviser who provides bona fide services to the Company, a Parent, a Subsidiary or an Affiliate as an independent contractor and who qualifies as a consultant or advisor under Instruction A.1.(a)(1) of Form S-8 under the Securities Act. </w:t>
      </w:r>
    </w:p>
    <w:p>
      <w:pPr>
        <w:pStyle w:val="TextBody"/>
        <w:bidi w:val="0"/>
        <w:spacing w:before="240" w:after="0"/>
        <w:jc w:val="both"/>
        <w:rPr>
          <w:rFonts w:ascii="Times New Roman" w:hAnsi="Times New Roman"/>
          <w:sz w:val="20"/>
        </w:rPr>
      </w:pPr>
      <w:r>
        <w:rPr>
          <w:rFonts w:ascii="Times New Roman" w:hAnsi="Times New Roman"/>
          <w:b/>
          <w:sz w:val="20"/>
        </w:rPr>
        <w:t>14.13 Employee</w:t>
      </w:r>
      <w:r>
        <w:rPr>
          <w:rFonts w:ascii="Times New Roman" w:hAnsi="Times New Roman"/>
          <w:sz w:val="20"/>
        </w:rPr>
        <w:t xml:space="preserve"> means a common-law employee of the Company, a Parent, a Subsidiary or an Affiliate. </w:t>
      </w:r>
    </w:p>
    <w:p>
      <w:pPr>
        <w:pStyle w:val="TextBody"/>
        <w:bidi w:val="0"/>
        <w:spacing w:before="240" w:after="0"/>
        <w:jc w:val="both"/>
        <w:rPr>
          <w:rFonts w:ascii="Times New Roman" w:hAnsi="Times New Roman"/>
          <w:sz w:val="20"/>
        </w:rPr>
      </w:pPr>
      <w:r>
        <w:rPr>
          <w:rFonts w:ascii="Times New Roman" w:hAnsi="Times New Roman"/>
          <w:b/>
          <w:sz w:val="20"/>
        </w:rPr>
        <w:t xml:space="preserve">14.14 </w:t>
      </w: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both"/>
        <w:rPr>
          <w:rFonts w:ascii="Times New Roman" w:hAnsi="Times New Roman"/>
          <w:sz w:val="20"/>
        </w:rPr>
      </w:pPr>
      <w:r>
        <w:rPr>
          <w:rFonts w:ascii="Times New Roman" w:hAnsi="Times New Roman"/>
          <w:b/>
          <w:sz w:val="20"/>
        </w:rPr>
        <w:t xml:space="preserve">14.15 </w:t>
      </w:r>
      <w:r>
        <w:rPr>
          <w:rFonts w:ascii="Times New Roman" w:hAnsi="Times New Roman"/>
          <w:sz w:val="20"/>
        </w:rPr>
        <w:t></w:t>
      </w:r>
      <w:r>
        <w:rPr>
          <w:rFonts w:ascii="Times New Roman" w:hAnsi="Times New Roman"/>
          <w:b/>
          <w:sz w:val="20"/>
        </w:rPr>
        <w:t>Exercise Price</w:t>
      </w:r>
      <w:r>
        <w:rPr>
          <w:rFonts w:ascii="Times New Roman" w:hAnsi="Times New Roman"/>
          <w:sz w:val="20"/>
        </w:rPr>
        <w:t xml:space="preserve">,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 </w:t>
      </w:r>
    </w:p>
    <w:p>
      <w:pPr>
        <w:pStyle w:val="TextBody"/>
        <w:bidi w:val="0"/>
        <w:spacing w:before="240" w:after="0"/>
        <w:jc w:val="both"/>
        <w:rPr>
          <w:rFonts w:ascii="Times New Roman" w:hAnsi="Times New Roman"/>
          <w:sz w:val="20"/>
        </w:rPr>
      </w:pPr>
      <w:r>
        <w:rPr>
          <w:rFonts w:ascii="Times New Roman" w:hAnsi="Times New Roman"/>
          <w:b/>
          <w:sz w:val="20"/>
        </w:rPr>
        <w:t xml:space="preserve">14.16 </w:t>
      </w:r>
      <w:r>
        <w:rPr>
          <w:rFonts w:ascii="Times New Roman" w:hAnsi="Times New Roman"/>
          <w:sz w:val="20"/>
        </w:rPr>
        <w:t></w:t>
      </w:r>
      <w:r>
        <w:rPr>
          <w:rFonts w:ascii="Times New Roman" w:hAnsi="Times New Roman"/>
          <w:b/>
          <w:sz w:val="20"/>
        </w:rPr>
        <w:t>Fair Market Value</w:t>
      </w:r>
      <w:r>
        <w:rPr>
          <w:rFonts w:ascii="Times New Roman" w:hAnsi="Times New Roman"/>
          <w:sz w:val="20"/>
        </w:rPr>
        <w:t xml:space="preserve">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Notwithstanding the foregoing, the determination of Fair Market Value in all cases shall be in accordance with the requirements set forth under Section 409A of the Code to the extent necessary for an Award to comply with, or be exempt from, Section 409A of the Code. </w:t>
      </w:r>
    </w:p>
    <w:p>
      <w:pPr>
        <w:pStyle w:val="TextBody"/>
        <w:bidi w:val="0"/>
        <w:spacing w:before="240" w:after="0"/>
        <w:jc w:val="both"/>
        <w:rPr>
          <w:rFonts w:ascii="Times New Roman" w:hAnsi="Times New Roman"/>
          <w:sz w:val="20"/>
        </w:rPr>
      </w:pPr>
      <w:r>
        <w:rPr>
          <w:rFonts w:ascii="Times New Roman" w:hAnsi="Times New Roman"/>
          <w:b/>
          <w:sz w:val="20"/>
        </w:rPr>
        <w:t xml:space="preserve">14.17 </w:t>
      </w:r>
      <w:r>
        <w:rPr>
          <w:rFonts w:ascii="Times New Roman" w:hAnsi="Times New Roman"/>
          <w:sz w:val="20"/>
        </w:rPr>
        <w:t></w:t>
      </w:r>
      <w:r>
        <w:rPr>
          <w:rFonts w:ascii="Times New Roman" w:hAnsi="Times New Roman"/>
          <w:b/>
          <w:sz w:val="20"/>
        </w:rPr>
        <w:t>ISO</w:t>
      </w:r>
      <w:r>
        <w:rPr>
          <w:rFonts w:ascii="Times New Roman" w:hAnsi="Times New Roman"/>
          <w:sz w:val="20"/>
        </w:rPr>
        <w:t xml:space="preserve"> means an incentive stock option described in Code Section 422(b). </w:t>
      </w:r>
    </w:p>
    <w:p>
      <w:pPr>
        <w:pStyle w:val="TextBody"/>
        <w:bidi w:val="0"/>
        <w:spacing w:before="240" w:after="0"/>
        <w:jc w:val="both"/>
        <w:rPr>
          <w:rFonts w:ascii="Times New Roman" w:hAnsi="Times New Roman"/>
          <w:sz w:val="20"/>
        </w:rPr>
      </w:pPr>
      <w:r>
        <w:rPr>
          <w:rFonts w:ascii="Times New Roman" w:hAnsi="Times New Roman"/>
          <w:b/>
          <w:sz w:val="20"/>
        </w:rPr>
        <w:t xml:space="preserve">14.18 </w:t>
      </w:r>
      <w:r>
        <w:rPr>
          <w:rFonts w:ascii="Times New Roman" w:hAnsi="Times New Roman"/>
          <w:sz w:val="20"/>
        </w:rPr>
        <w:t></w:t>
      </w:r>
      <w:r>
        <w:rPr>
          <w:rFonts w:ascii="Times New Roman" w:hAnsi="Times New Roman"/>
          <w:b/>
          <w:sz w:val="20"/>
        </w:rPr>
        <w:t>NSO</w:t>
      </w:r>
      <w:r>
        <w:rPr>
          <w:rFonts w:ascii="Times New Roman" w:hAnsi="Times New Roman"/>
          <w:sz w:val="20"/>
        </w:rPr>
        <w:t xml:space="preserve"> means a stock option not described in Code Sections 422 or 423. </w:t>
      </w:r>
    </w:p>
    <w:p>
      <w:pPr>
        <w:pStyle w:val="TextBody"/>
        <w:bidi w:val="0"/>
        <w:spacing w:before="240" w:after="0"/>
        <w:jc w:val="both"/>
        <w:rPr>
          <w:rFonts w:ascii="Times New Roman" w:hAnsi="Times New Roman"/>
          <w:sz w:val="20"/>
        </w:rPr>
      </w:pPr>
      <w:r>
        <w:rPr>
          <w:rFonts w:ascii="Times New Roman" w:hAnsi="Times New Roman"/>
          <w:b/>
          <w:sz w:val="20"/>
        </w:rPr>
        <w:t xml:space="preserve">14.19 </w:t>
      </w:r>
      <w:r>
        <w:rPr>
          <w:rFonts w:ascii="Times New Roman" w:hAnsi="Times New Roman"/>
          <w:sz w:val="20"/>
        </w:rPr>
        <w:t></w:t>
      </w:r>
      <w:r>
        <w:rPr>
          <w:rFonts w:ascii="Times New Roman" w:hAnsi="Times New Roman"/>
          <w:b/>
          <w:sz w:val="20"/>
        </w:rPr>
        <w:t>Option</w:t>
      </w:r>
      <w:r>
        <w:rPr>
          <w:rFonts w:ascii="Times New Roman" w:hAnsi="Times New Roman"/>
          <w:sz w:val="20"/>
        </w:rPr>
        <w:t xml:space="preserve"> means an ISO or NSO granted under the Plan and entitling the holder to purchase Common Shares. </w:t>
      </w:r>
    </w:p>
    <w:p>
      <w:pPr>
        <w:pStyle w:val="TextBody"/>
        <w:bidi w:val="0"/>
        <w:spacing w:before="240" w:after="0"/>
        <w:jc w:val="both"/>
        <w:rPr>
          <w:rFonts w:ascii="Times New Roman" w:hAnsi="Times New Roman"/>
          <w:sz w:val="20"/>
        </w:rPr>
      </w:pPr>
      <w:r>
        <w:rPr>
          <w:rFonts w:ascii="Times New Roman" w:hAnsi="Times New Roman"/>
          <w:b/>
          <w:sz w:val="20"/>
        </w:rPr>
        <w:t xml:space="preserve">14.20 </w:t>
      </w:r>
      <w:r>
        <w:rPr>
          <w:rFonts w:ascii="Times New Roman" w:hAnsi="Times New Roman"/>
          <w:sz w:val="20"/>
        </w:rPr>
        <w:t></w:t>
      </w:r>
      <w:r>
        <w:rPr>
          <w:rFonts w:ascii="Times New Roman" w:hAnsi="Times New Roman"/>
          <w:b/>
          <w:sz w:val="20"/>
        </w:rPr>
        <w:t>Optionee</w:t>
      </w:r>
      <w:r>
        <w:rPr>
          <w:rFonts w:ascii="Times New Roman" w:hAnsi="Times New Roman"/>
          <w:sz w:val="20"/>
        </w:rPr>
        <w:t xml:space="preserve"> means an individual or estate holding an Option or SAR. </w:t>
      </w:r>
    </w:p>
    <w:p>
      <w:pPr>
        <w:pStyle w:val="TextBody"/>
        <w:bidi w:val="0"/>
        <w:spacing w:before="240" w:after="0"/>
        <w:jc w:val="both"/>
        <w:rPr>
          <w:rFonts w:ascii="Times New Roman" w:hAnsi="Times New Roman"/>
          <w:sz w:val="20"/>
        </w:rPr>
      </w:pPr>
      <w:r>
        <w:rPr>
          <w:rFonts w:ascii="Times New Roman" w:hAnsi="Times New Roman"/>
          <w:b/>
          <w:sz w:val="20"/>
        </w:rPr>
        <w:t xml:space="preserve">14.21 </w:t>
      </w:r>
      <w:r>
        <w:rPr>
          <w:rFonts w:ascii="Times New Roman" w:hAnsi="Times New Roman"/>
          <w:sz w:val="20"/>
        </w:rPr>
        <w:t></w:t>
      </w:r>
      <w:r>
        <w:rPr>
          <w:rFonts w:ascii="Times New Roman" w:hAnsi="Times New Roman"/>
          <w:b/>
          <w:sz w:val="20"/>
        </w:rPr>
        <w:t>Outside Director</w:t>
      </w:r>
      <w:r>
        <w:rPr>
          <w:rFonts w:ascii="Times New Roman" w:hAnsi="Times New Roman"/>
          <w:sz w:val="20"/>
        </w:rPr>
        <w:t xml:space="preserve"> means a member of the Board who is not an Employee. </w:t>
      </w:r>
    </w:p>
    <w:p>
      <w:pPr>
        <w:pStyle w:val="TextBody"/>
        <w:bidi w:val="0"/>
        <w:spacing w:before="240" w:after="0"/>
        <w:jc w:val="both"/>
        <w:rPr>
          <w:rFonts w:ascii="Times New Roman" w:hAnsi="Times New Roman"/>
          <w:sz w:val="20"/>
        </w:rPr>
      </w:pPr>
      <w:r>
        <w:rPr>
          <w:rFonts w:ascii="Times New Roman" w:hAnsi="Times New Roman"/>
          <w:b/>
          <w:sz w:val="20"/>
        </w:rPr>
        <w:t xml:space="preserve">14.22 </w:t>
      </w:r>
      <w:r>
        <w:rPr>
          <w:rFonts w:ascii="Times New Roman" w:hAnsi="Times New Roman"/>
          <w:sz w:val="20"/>
        </w:rPr>
        <w:t></w:t>
      </w:r>
      <w:r>
        <w:rPr>
          <w:rFonts w:ascii="Times New Roman" w:hAnsi="Times New Roman"/>
          <w:b/>
          <w:sz w:val="20"/>
        </w:rPr>
        <w:t>Parent</w:t>
      </w:r>
      <w:r>
        <w:rPr>
          <w:rFonts w:ascii="Times New Roman" w:hAnsi="Times New Roman"/>
          <w:sz w:val="20"/>
        </w:rPr>
        <w:t xml:space="preserve">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 </w:t>
      </w:r>
    </w:p>
    <w:p>
      <w:pPr>
        <w:pStyle w:val="TextBody"/>
        <w:bidi w:val="0"/>
        <w:spacing w:before="240" w:after="0"/>
        <w:jc w:val="both"/>
        <w:rPr>
          <w:rFonts w:ascii="Times New Roman" w:hAnsi="Times New Roman"/>
          <w:sz w:val="20"/>
        </w:rPr>
      </w:pPr>
      <w:r>
        <w:rPr>
          <w:rFonts w:ascii="Times New Roman" w:hAnsi="Times New Roman"/>
          <w:b/>
          <w:sz w:val="20"/>
        </w:rPr>
        <w:t xml:space="preserve">14.23 </w:t>
      </w:r>
      <w:r>
        <w:rPr>
          <w:rFonts w:ascii="Times New Roman" w:hAnsi="Times New Roman"/>
          <w:sz w:val="20"/>
        </w:rPr>
        <w:t></w:t>
      </w:r>
      <w:r>
        <w:rPr>
          <w:rFonts w:ascii="Times New Roman" w:hAnsi="Times New Roman"/>
          <w:b/>
          <w:sz w:val="20"/>
        </w:rPr>
        <w:t>Participant</w:t>
      </w:r>
      <w:r>
        <w:rPr>
          <w:rFonts w:ascii="Times New Roman" w:hAnsi="Times New Roman"/>
          <w:sz w:val="20"/>
        </w:rPr>
        <w:t xml:space="preserve"> means an individual or estate holding an Award. </w:t>
      </w:r>
    </w:p>
    <w:p>
      <w:pPr>
        <w:pStyle w:val="TextBody"/>
        <w:bidi w:val="0"/>
        <w:spacing w:before="240" w:after="0"/>
        <w:jc w:val="both"/>
        <w:rPr>
          <w:rFonts w:ascii="Times New Roman" w:hAnsi="Times New Roman"/>
          <w:sz w:val="20"/>
        </w:rPr>
      </w:pPr>
      <w:r>
        <w:rPr>
          <w:rFonts w:ascii="Times New Roman" w:hAnsi="Times New Roman"/>
          <w:b/>
          <w:sz w:val="20"/>
        </w:rPr>
        <w:t xml:space="preserve">14.24 </w:t>
      </w:r>
      <w:r>
        <w:rPr>
          <w:rFonts w:ascii="Times New Roman" w:hAnsi="Times New Roman"/>
          <w:sz w:val="20"/>
        </w:rPr>
        <w:t></w:t>
      </w:r>
      <w:r>
        <w:rPr>
          <w:rFonts w:ascii="Times New Roman" w:hAnsi="Times New Roman"/>
          <w:b/>
          <w:sz w:val="20"/>
        </w:rPr>
        <w:t>Plan</w:t>
      </w:r>
      <w:r>
        <w:rPr>
          <w:rFonts w:ascii="Times New Roman" w:hAnsi="Times New Roman"/>
          <w:sz w:val="20"/>
        </w:rPr>
        <w:t xml:space="preserve"> means this Velodyne LiDAR, Inc. 2020 Equity Incentive Plan,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 xml:space="preserve">14.25 </w:t>
      </w:r>
      <w:r>
        <w:rPr>
          <w:rFonts w:ascii="Times New Roman" w:hAnsi="Times New Roman"/>
          <w:sz w:val="20"/>
        </w:rPr>
        <w:t></w:t>
      </w:r>
      <w:r>
        <w:rPr>
          <w:rFonts w:ascii="Times New Roman" w:hAnsi="Times New Roman"/>
          <w:b/>
          <w:sz w:val="20"/>
        </w:rPr>
        <w:t>Predecessor Plan</w:t>
      </w:r>
      <w:r>
        <w:rPr>
          <w:rFonts w:ascii="Times New Roman" w:hAnsi="Times New Roman"/>
          <w:sz w:val="20"/>
        </w:rPr>
        <w:t xml:space="preserve"> means the Companys 2016 Stock Plan or the Companys 2007 Incentive Stock Plan. </w:t>
      </w:r>
    </w:p>
    <w:p>
      <w:pPr>
        <w:pStyle w:val="TextBody"/>
        <w:bidi w:val="0"/>
        <w:spacing w:before="240" w:after="0"/>
        <w:jc w:val="both"/>
        <w:rPr>
          <w:rFonts w:ascii="Times New Roman" w:hAnsi="Times New Roman"/>
          <w:sz w:val="20"/>
        </w:rPr>
      </w:pPr>
      <w:r>
        <w:rPr>
          <w:rFonts w:ascii="Times New Roman" w:hAnsi="Times New Roman"/>
          <w:b/>
          <w:sz w:val="20"/>
        </w:rPr>
        <w:t xml:space="preserve">14.26 </w:t>
      </w:r>
      <w:r>
        <w:rPr>
          <w:rFonts w:ascii="Times New Roman" w:hAnsi="Times New Roman"/>
          <w:sz w:val="20"/>
        </w:rPr>
        <w:t></w:t>
      </w:r>
      <w:r>
        <w:rPr>
          <w:rFonts w:ascii="Times New Roman" w:hAnsi="Times New Roman"/>
          <w:b/>
          <w:sz w:val="20"/>
        </w:rPr>
        <w:t>Restricted Share</w:t>
      </w:r>
      <w:r>
        <w:rPr>
          <w:rFonts w:ascii="Times New Roman" w:hAnsi="Times New Roman"/>
          <w:sz w:val="20"/>
        </w:rPr>
        <w:t xml:space="preserve"> means a Common Share awarded under the Plan. </w:t>
      </w:r>
    </w:p>
    <w:p>
      <w:pPr>
        <w:pStyle w:val="TextBody"/>
        <w:bidi w:val="0"/>
        <w:spacing w:before="240" w:after="0"/>
        <w:jc w:val="both"/>
        <w:rPr>
          <w:rFonts w:ascii="Times New Roman" w:hAnsi="Times New Roman"/>
          <w:sz w:val="20"/>
        </w:rPr>
      </w:pPr>
      <w:r>
        <w:rPr>
          <w:rFonts w:ascii="Times New Roman" w:hAnsi="Times New Roman"/>
          <w:b/>
          <w:sz w:val="20"/>
        </w:rPr>
        <w:t xml:space="preserve">14.27 </w:t>
      </w:r>
      <w:r>
        <w:rPr>
          <w:rFonts w:ascii="Times New Roman" w:hAnsi="Times New Roman"/>
          <w:sz w:val="20"/>
        </w:rPr>
        <w:t></w:t>
      </w:r>
      <w:r>
        <w:rPr>
          <w:rFonts w:ascii="Times New Roman" w:hAnsi="Times New Roman"/>
          <w:b/>
          <w:sz w:val="20"/>
        </w:rPr>
        <w:t>Restricted Stock Agreement</w:t>
      </w:r>
      <w:r>
        <w:rPr>
          <w:rFonts w:ascii="Times New Roman" w:hAnsi="Times New Roman"/>
          <w:sz w:val="20"/>
        </w:rPr>
        <w:t xml:space="preserve"> means the agreement consistent with the terms of the Plan between the Company and the recipient of a Restricted Share that contains the terms, conditions and restrictions pertaining to such Restricted Share. </w:t>
      </w:r>
    </w:p>
    <w:p>
      <w:pPr>
        <w:pStyle w:val="TextBody"/>
        <w:bidi w:val="0"/>
        <w:spacing w:before="240" w:after="0"/>
        <w:jc w:val="both"/>
        <w:rPr>
          <w:rFonts w:ascii="Times New Roman" w:hAnsi="Times New Roman"/>
          <w:sz w:val="20"/>
        </w:rPr>
      </w:pPr>
      <w:r>
        <w:rPr>
          <w:rFonts w:ascii="Times New Roman" w:hAnsi="Times New Roman"/>
          <w:b/>
          <w:sz w:val="20"/>
        </w:rPr>
        <w:t xml:space="preserve">14.28 </w:t>
      </w:r>
      <w:r>
        <w:rPr>
          <w:rFonts w:ascii="Times New Roman" w:hAnsi="Times New Roman"/>
          <w:sz w:val="20"/>
        </w:rPr>
        <w:t></w:t>
      </w:r>
      <w:r>
        <w:rPr>
          <w:rFonts w:ascii="Times New Roman" w:hAnsi="Times New Roman"/>
          <w:b/>
          <w:sz w:val="20"/>
        </w:rPr>
        <w:t>Restricted Stock Unit</w:t>
      </w:r>
      <w:r>
        <w:rPr>
          <w:rFonts w:ascii="Times New Roman" w:hAnsi="Times New Roman"/>
          <w:sz w:val="20"/>
        </w:rPr>
        <w:t xml:space="preserve"> means a bookkeeping entry representing the equivalent of one Common Share, as awarded under the Plan. </w:t>
      </w:r>
    </w:p>
    <w:p>
      <w:pPr>
        <w:pStyle w:val="TextBody"/>
        <w:bidi w:val="0"/>
        <w:spacing w:before="240" w:after="0"/>
        <w:jc w:val="both"/>
        <w:rPr>
          <w:rFonts w:ascii="Times New Roman" w:hAnsi="Times New Roman"/>
          <w:sz w:val="20"/>
        </w:rPr>
      </w:pPr>
      <w:r>
        <w:rPr>
          <w:rFonts w:ascii="Times New Roman" w:hAnsi="Times New Roman"/>
          <w:b/>
          <w:sz w:val="20"/>
        </w:rPr>
        <w:t xml:space="preserve">14.29 </w:t>
      </w:r>
      <w:r>
        <w:rPr>
          <w:rFonts w:ascii="Times New Roman" w:hAnsi="Times New Roman"/>
          <w:sz w:val="20"/>
        </w:rPr>
        <w:t></w:t>
      </w:r>
      <w:r>
        <w:rPr>
          <w:rFonts w:ascii="Times New Roman" w:hAnsi="Times New Roman"/>
          <w:b/>
          <w:sz w:val="20"/>
        </w:rPr>
        <w:t>Restricted Stock Unit Agreement</w:t>
      </w:r>
      <w:r>
        <w:rPr>
          <w:rFonts w:ascii="Times New Roman" w:hAnsi="Times New Roman"/>
          <w:sz w:val="20"/>
        </w:rPr>
        <w:t xml:space="preserve"> means the agreement consistent with the terms of the Plan between the Company and the recipient of a Restricted Stock Unit that contains the terms, conditions and restrictions pertaining to such Restricted Stock Unit. </w:t>
      </w:r>
    </w:p>
    <w:p>
      <w:pPr>
        <w:pStyle w:val="TextBody"/>
        <w:bidi w:val="0"/>
        <w:spacing w:before="240" w:after="0"/>
        <w:jc w:val="both"/>
        <w:rPr>
          <w:rFonts w:ascii="Times New Roman" w:hAnsi="Times New Roman"/>
          <w:sz w:val="20"/>
        </w:rPr>
      </w:pPr>
      <w:r>
        <w:rPr>
          <w:rFonts w:ascii="Times New Roman" w:hAnsi="Times New Roman"/>
          <w:b/>
          <w:sz w:val="20"/>
        </w:rPr>
        <w:t xml:space="preserve">14.30 </w:t>
      </w:r>
      <w:r>
        <w:rPr>
          <w:rFonts w:ascii="Times New Roman" w:hAnsi="Times New Roman"/>
          <w:sz w:val="20"/>
        </w:rPr>
        <w:t></w:t>
      </w:r>
      <w:r>
        <w:rPr>
          <w:rFonts w:ascii="Times New Roman" w:hAnsi="Times New Roman"/>
          <w:b/>
          <w:sz w:val="20"/>
        </w:rPr>
        <w:t>SAR</w:t>
      </w:r>
      <w:r>
        <w:rPr>
          <w:rFonts w:ascii="Times New Roman" w:hAnsi="Times New Roman"/>
          <w:sz w:val="20"/>
        </w:rPr>
        <w:t xml:space="preserve"> means a stock appreciation right granted under the Plan. </w:t>
      </w:r>
    </w:p>
    <w:p>
      <w:pPr>
        <w:pStyle w:val="TextBody"/>
        <w:bidi w:val="0"/>
        <w:spacing w:before="240" w:after="0"/>
        <w:jc w:val="both"/>
        <w:rPr>
          <w:rFonts w:ascii="Times New Roman" w:hAnsi="Times New Roman"/>
          <w:sz w:val="20"/>
        </w:rPr>
      </w:pPr>
      <w:r>
        <w:rPr>
          <w:rFonts w:ascii="Times New Roman" w:hAnsi="Times New Roman"/>
          <w:b/>
          <w:sz w:val="20"/>
        </w:rPr>
        <w:t xml:space="preserve">14.31 </w:t>
      </w:r>
      <w:r>
        <w:rPr>
          <w:rFonts w:ascii="Times New Roman" w:hAnsi="Times New Roman"/>
          <w:sz w:val="20"/>
        </w:rPr>
        <w:t></w:t>
      </w:r>
      <w:r>
        <w:rPr>
          <w:rFonts w:ascii="Times New Roman" w:hAnsi="Times New Roman"/>
          <w:b/>
          <w:sz w:val="20"/>
        </w:rPr>
        <w:t>SAR Agreement</w:t>
      </w:r>
      <w:r>
        <w:rPr>
          <w:rFonts w:ascii="Times New Roman" w:hAnsi="Times New Roman"/>
          <w:sz w:val="20"/>
        </w:rPr>
        <w:t xml:space="preserve"> means the agreement consistent with the terms of the Plan between the Company and an Optionee that contains the terms, conditions and restrictions pertaining to his or her SAR. </w:t>
      </w:r>
    </w:p>
    <w:p>
      <w:pPr>
        <w:pStyle w:val="TextBody"/>
        <w:bidi w:val="0"/>
        <w:spacing w:before="240" w:after="0"/>
        <w:jc w:val="both"/>
        <w:rPr>
          <w:rFonts w:ascii="Times New Roman" w:hAnsi="Times New Roman"/>
          <w:sz w:val="20"/>
        </w:rPr>
      </w:pPr>
      <w:r>
        <w:rPr>
          <w:rFonts w:ascii="Times New Roman" w:hAnsi="Times New Roman"/>
          <w:b/>
          <w:sz w:val="20"/>
        </w:rPr>
        <w:t xml:space="preserve">14.32 </w:t>
      </w: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both"/>
        <w:rPr>
          <w:rFonts w:ascii="Times New Roman" w:hAnsi="Times New Roman"/>
          <w:sz w:val="20"/>
        </w:rPr>
      </w:pPr>
      <w:r>
        <w:rPr>
          <w:rFonts w:ascii="Times New Roman" w:hAnsi="Times New Roman"/>
          <w:b/>
          <w:sz w:val="20"/>
        </w:rPr>
        <w:t xml:space="preserve">14.33 </w:t>
      </w:r>
      <w:r>
        <w:rPr>
          <w:rFonts w:ascii="Times New Roman" w:hAnsi="Times New Roman"/>
          <w:sz w:val="20"/>
        </w:rPr>
        <w:t></w:t>
      </w:r>
      <w:r>
        <w:rPr>
          <w:rFonts w:ascii="Times New Roman" w:hAnsi="Times New Roman"/>
          <w:b/>
          <w:sz w:val="20"/>
        </w:rPr>
        <w:t>Service Provider</w:t>
      </w:r>
      <w:r>
        <w:rPr>
          <w:rFonts w:ascii="Times New Roman" w:hAnsi="Times New Roman"/>
          <w:sz w:val="20"/>
        </w:rPr>
        <w:t xml:space="preserve"> means any individual who is an Employee, Outside Director or Consultant, including any prospective Employee, Outside Director or Consultant who have accepted offers of employment or service and would be an Employee, Outside Director or Consultant after the commencement of their service. </w:t>
      </w:r>
    </w:p>
    <w:p>
      <w:pPr>
        <w:pStyle w:val="TextBody"/>
        <w:bidi w:val="0"/>
        <w:spacing w:before="240" w:after="0"/>
        <w:jc w:val="both"/>
        <w:rPr>
          <w:rFonts w:ascii="Times New Roman" w:hAnsi="Times New Roman"/>
          <w:sz w:val="20"/>
        </w:rPr>
      </w:pPr>
      <w:r>
        <w:rPr>
          <w:rFonts w:ascii="Times New Roman" w:hAnsi="Times New Roman"/>
          <w:b/>
          <w:sz w:val="20"/>
        </w:rPr>
        <w:t xml:space="preserve">14.34 </w:t>
      </w:r>
      <w:r>
        <w:rPr>
          <w:rFonts w:ascii="Times New Roman" w:hAnsi="Times New Roman"/>
          <w:sz w:val="20"/>
        </w:rPr>
        <w:t></w:t>
      </w:r>
      <w:r>
        <w:rPr>
          <w:rFonts w:ascii="Times New Roman" w:hAnsi="Times New Roman"/>
          <w:b/>
          <w:sz w:val="20"/>
        </w:rPr>
        <w:t>Stock Option Agreement</w:t>
      </w:r>
      <w:r>
        <w:rPr>
          <w:rFonts w:ascii="Times New Roman" w:hAnsi="Times New Roman"/>
          <w:sz w:val="20"/>
        </w:rPr>
        <w:t xml:space="preserve"> means the agreement between the Company and an Optionee that contains the terms, conditions and restrictions pertaining to his or her Option. </w:t>
      </w:r>
    </w:p>
    <w:p>
      <w:pPr>
        <w:pStyle w:val="TextBody"/>
        <w:bidi w:val="0"/>
        <w:spacing w:before="240" w:after="0"/>
        <w:jc w:val="both"/>
        <w:rPr>
          <w:rFonts w:ascii="Times New Roman" w:hAnsi="Times New Roman"/>
          <w:sz w:val="20"/>
        </w:rPr>
      </w:pPr>
      <w:r>
        <w:rPr>
          <w:rFonts w:ascii="Times New Roman" w:hAnsi="Times New Roman"/>
          <w:b/>
          <w:sz w:val="20"/>
        </w:rPr>
        <w:t xml:space="preserve">14.35 </w:t>
      </w: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 </w:t>
      </w:r>
    </w:p>
    <w:p>
      <w:pPr>
        <w:pStyle w:val="TextBody"/>
        <w:bidi w:val="0"/>
        <w:spacing w:before="240" w:after="0"/>
        <w:jc w:val="both"/>
        <w:rPr>
          <w:rFonts w:ascii="Times New Roman" w:hAnsi="Times New Roman"/>
          <w:sz w:val="20"/>
        </w:rPr>
      </w:pPr>
      <w:r>
        <w:rPr>
          <w:rFonts w:ascii="Times New Roman" w:hAnsi="Times New Roman"/>
          <w:b/>
          <w:sz w:val="20"/>
        </w:rPr>
        <w:t xml:space="preserve">14.36 </w:t>
      </w:r>
      <w:r>
        <w:rPr>
          <w:rFonts w:ascii="Times New Roman" w:hAnsi="Times New Roman"/>
          <w:sz w:val="20"/>
        </w:rPr>
        <w:t></w:t>
      </w:r>
      <w:r>
        <w:rPr>
          <w:rFonts w:ascii="Times New Roman" w:hAnsi="Times New Roman"/>
          <w:b/>
          <w:sz w:val="20"/>
        </w:rPr>
        <w:t>Substitute Awards</w:t>
      </w:r>
      <w:r>
        <w:rPr>
          <w:rFonts w:ascii="Times New Roman" w:hAnsi="Times New Roman"/>
          <w:sz w:val="20"/>
        </w:rPr>
        <w:t xml:space="preserve">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the applicable exchange listing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10230" cy="1278890"/>
                <wp:effectExtent l="0" t="0" r="0" b="0"/>
                <wp:wrapSquare wrapText="right"/>
                <wp:docPr id="12" name="Frame1"/>
                <a:graphic xmlns:a="http://schemas.openxmlformats.org/drawingml/2006/main">
                  <a:graphicData uri="http://schemas.microsoft.com/office/word/2010/wordprocessingShape">
                    <wps:wsp>
                      <wps:cNvSpPr txBox="1"/>
                      <wps:spPr>
                        <a:xfrm>
                          <a:off x="0" y="0"/>
                          <a:ext cx="3110230" cy="127889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t xml:space="preserve">  </w:t>
                            </w:r>
                            <w:r>
                              <w:rPr/>
                              <w:drawing>
                                <wp:inline distT="0" distB="0" distL="0" distR="0">
                                  <wp:extent cx="1819275" cy="381000"/>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1819275" cy="381000"/>
                                          </a:xfrm>
                                          <a:prstGeom prst="rect">
                                            <a:avLst/>
                                          </a:prstGeom>
                                        </pic:spPr>
                                      </pic:pic>
                                    </a:graphicData>
                                  </a:graphic>
                                </wp:inline>
                              </w:drawing>
                            </w:r>
                            <w:r>
                              <w:rPr/>
                              <w:t xml:space="preserve"> </w:t>
                            </w:r>
                          </w:p>
                          <w:p>
                            <w:pPr>
                              <w:pStyle w:val="TextBody"/>
                              <w:bidi w:val="0"/>
                              <w:spacing w:before="120" w:after="0"/>
                              <w:jc w:val="left"/>
                              <w:rPr>
                                <w:rFonts w:ascii="ARIAL" w:hAnsi="ARIAL"/>
                                <w:i/>
                                <w:sz w:val="12"/>
                              </w:rPr>
                            </w:pPr>
                            <w:r>
                              <w:rPr>
                                <w:rFonts w:ascii="ARIAL" w:hAnsi="ARIAL"/>
                                <w:i/>
                                <w:sz w:val="12"/>
                              </w:rPr>
                              <w:t xml:space="preserve">OUSTER, INC. </w:t>
                            </w:r>
                          </w:p>
                          <w:p>
                            <w:pPr>
                              <w:pStyle w:val="TextBody"/>
                              <w:bidi w:val="0"/>
                              <w:spacing w:before="0" w:after="0"/>
                              <w:jc w:val="left"/>
                              <w:rPr>
                                <w:rFonts w:ascii="ARIAL" w:hAnsi="ARIAL"/>
                                <w:i/>
                                <w:sz w:val="12"/>
                              </w:rPr>
                            </w:pPr>
                            <w:r>
                              <w:rPr>
                                <w:rFonts w:ascii="ARIAL" w:hAnsi="ARIAL"/>
                                <w:i/>
                                <w:sz w:val="12"/>
                              </w:rPr>
                              <w:t xml:space="preserve">350 TREAT AVENUE </w:t>
                            </w:r>
                          </w:p>
                          <w:p>
                            <w:pPr>
                              <w:pStyle w:val="TextBody"/>
                              <w:bidi w:val="0"/>
                              <w:spacing w:before="0" w:after="0"/>
                              <w:jc w:val="left"/>
                              <w:rPr>
                                <w:rFonts w:ascii="ARIAL" w:hAnsi="ARIAL"/>
                                <w:i/>
                                <w:sz w:val="12"/>
                              </w:rPr>
                            </w:pPr>
                            <w:r>
                              <w:rPr>
                                <w:rFonts w:ascii="ARIAL" w:hAnsi="ARIAL"/>
                                <w:i/>
                                <w:sz w:val="12"/>
                              </w:rPr>
                              <w:t xml:space="preserve">SAN FRANCISCO, CA 94110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0.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t xml:space="preserve">  </w:t>
                      </w:r>
                      <w:r>
                        <w:rPr/>
                        <w:drawing>
                          <wp:inline distT="0" distB="0" distL="0" distR="0">
                            <wp:extent cx="1819275" cy="3810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4"/>
                                    <a:stretch>
                                      <a:fillRect/>
                                    </a:stretch>
                                  </pic:blipFill>
                                  <pic:spPr bwMode="auto">
                                    <a:xfrm>
                                      <a:off x="0" y="0"/>
                                      <a:ext cx="1819275" cy="381000"/>
                                    </a:xfrm>
                                    <a:prstGeom prst="rect">
                                      <a:avLst/>
                                    </a:prstGeom>
                                  </pic:spPr>
                                </pic:pic>
                              </a:graphicData>
                            </a:graphic>
                          </wp:inline>
                        </w:drawing>
                      </w:r>
                      <w:r>
                        <w:rPr/>
                        <w:t xml:space="preserve"> </w:t>
                      </w:r>
                    </w:p>
                    <w:p>
                      <w:pPr>
                        <w:pStyle w:val="TextBody"/>
                        <w:bidi w:val="0"/>
                        <w:spacing w:before="120" w:after="0"/>
                        <w:jc w:val="left"/>
                        <w:rPr>
                          <w:rFonts w:ascii="ARIAL" w:hAnsi="ARIAL"/>
                          <w:i/>
                          <w:sz w:val="12"/>
                        </w:rPr>
                      </w:pPr>
                      <w:r>
                        <w:rPr>
                          <w:rFonts w:ascii="ARIAL" w:hAnsi="ARIAL"/>
                          <w:i/>
                          <w:sz w:val="12"/>
                        </w:rPr>
                        <w:t xml:space="preserve">OUSTER, INC. </w:t>
                      </w:r>
                    </w:p>
                    <w:p>
                      <w:pPr>
                        <w:pStyle w:val="TextBody"/>
                        <w:bidi w:val="0"/>
                        <w:spacing w:before="0" w:after="0"/>
                        <w:jc w:val="left"/>
                        <w:rPr>
                          <w:rFonts w:ascii="ARIAL" w:hAnsi="ARIAL"/>
                          <w:i/>
                          <w:sz w:val="12"/>
                        </w:rPr>
                      </w:pPr>
                      <w:r>
                        <w:rPr>
                          <w:rFonts w:ascii="ARIAL" w:hAnsi="ARIAL"/>
                          <w:i/>
                          <w:sz w:val="12"/>
                        </w:rPr>
                        <w:t xml:space="preserve">350 TREAT AVENUE </w:t>
                      </w:r>
                    </w:p>
                    <w:p>
                      <w:pPr>
                        <w:pStyle w:val="TextBody"/>
                        <w:bidi w:val="0"/>
                        <w:spacing w:before="0" w:after="0"/>
                        <w:jc w:val="left"/>
                        <w:rPr>
                          <w:rFonts w:ascii="ARIAL" w:hAnsi="ARIAL"/>
                          <w:i/>
                          <w:sz w:val="12"/>
                        </w:rPr>
                      </w:pPr>
                      <w:r>
                        <w:rPr>
                          <w:rFonts w:ascii="ARIAL" w:hAnsi="ARIAL"/>
                          <w:i/>
                          <w:sz w:val="12"/>
                        </w:rPr>
                        <w:t xml:space="preserve">SAN FRANCISCO, CA 94110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175000" cy="3543935"/>
                <wp:effectExtent l="0" t="0" r="0" b="0"/>
                <wp:wrapSquare wrapText="right"/>
                <wp:docPr id="15" name="Frame2"/>
                <a:graphic xmlns:a="http://schemas.openxmlformats.org/drawingml/2006/main">
                  <a:graphicData uri="http://schemas.microsoft.com/office/word/2010/wordprocessingShape">
                    <wps:wsp>
                      <wps:cNvSpPr txBox="1"/>
                      <wps:spPr>
                        <a:xfrm>
                          <a:off x="0" y="0"/>
                          <a:ext cx="3175000" cy="3543935"/>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409825" cy="6000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5"/>
                                          <a:stretch>
                                            <a:fillRect/>
                                          </a:stretch>
                                        </pic:blipFill>
                                        <pic:spPr bwMode="auto">
                                          <a:xfrm>
                                            <a:off x="0" y="0"/>
                                            <a:ext cx="2409825" cy="600075"/>
                                          </a:xfrm>
                                          <a:prstGeom prst="rect">
                                            <a:avLst/>
                                          </a:prstGeom>
                                        </pic:spPr>
                                      </pic:pic>
                                    </a:graphicData>
                                  </a:graphic>
                                </wp:inline>
                              </w:drawing>
                            </w:r>
                            <w:r>
                              <w:rPr/>
                              <w:t xml:space="preserve"> </w:t>
                            </w:r>
                          </w:p>
                          <w:p>
                            <w:pPr>
                              <w:pStyle w:val="TextBody"/>
                              <w:bidi w:val="0"/>
                              <w:spacing w:before="120" w:after="0"/>
                              <w:jc w:val="left"/>
                              <w:rPr>
                                <w:rFonts w:ascii="ARIAL" w:hAnsi="ARIAL"/>
                                <w:b/>
                                <w:sz w:val="16"/>
                              </w:rPr>
                            </w:pPr>
                            <w:r>
                              <w:rPr>
                                <w:rFonts w:ascii="ARIAL" w:hAnsi="ARIAL"/>
                                <w:b/>
                                <w:sz w:val="16"/>
                              </w:rPr>
                              <w:t xml:space="preserve">VOTE BY INTERNET </w:t>
                            </w:r>
                          </w:p>
                          <w:p>
                            <w:pPr>
                              <w:pStyle w:val="TextBody"/>
                              <w:bidi w:val="0"/>
                              <w:spacing w:before="0" w:after="0"/>
                              <w:jc w:val="both"/>
                              <w:rPr>
                                <w:rFonts w:ascii="ARIAL" w:hAnsi="ARIAL"/>
                                <w:sz w:val="16"/>
                              </w:rPr>
                            </w:pPr>
                            <w:r>
                              <w:rPr>
                                <w:rFonts w:ascii="ARIAL" w:hAnsi="ARIAL"/>
                                <w:i/>
                                <w:sz w:val="16"/>
                              </w:rPr>
                              <w:t xml:space="preserve">Before The Meeting </w:t>
                            </w:r>
                            <w:r>
                              <w:rPr>
                                <w:rFonts w:ascii="ARIAL" w:hAnsi="ARIAL"/>
                                <w:sz w:val="16"/>
                              </w:rPr>
                              <w:t xml:space="preserve">- Go to </w:t>
                            </w:r>
                            <w:r>
                              <w:rPr>
                                <w:rFonts w:ascii="ARIAL" w:hAnsi="ARIAL"/>
                                <w:b/>
                                <w:sz w:val="16"/>
                                <w:u w:val="single"/>
                              </w:rPr>
                              <w:t>www.proxyvote.com</w:t>
                            </w:r>
                            <w:r>
                              <w:rPr>
                                <w:rFonts w:ascii="ARIAL" w:hAnsi="ARIAL"/>
                                <w:b/>
                                <w:sz w:val="16"/>
                              </w:rPr>
                              <w:t xml:space="preserve"> or scan the QR Barcode above</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Use the Internet to transmit your voting instructions and for electronic delivery of information up until 8:59 p.m. Pacific Time on June 20, 2024.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6"/>
                              </w:rPr>
                            </w:pPr>
                            <w:r>
                              <w:rPr>
                                <w:rFonts w:ascii="ARIAL" w:hAnsi="ARIAL"/>
                                <w:i/>
                                <w:sz w:val="16"/>
                              </w:rPr>
                              <w:t xml:space="preserve">During The Meeting </w:t>
                            </w:r>
                            <w:r>
                              <w:rPr>
                                <w:rFonts w:ascii="ARIAL" w:hAnsi="ARIAL"/>
                                <w:sz w:val="16"/>
                              </w:rPr>
                              <w:t xml:space="preserve">- Go to </w:t>
                            </w:r>
                            <w:r>
                              <w:rPr>
                                <w:rFonts w:ascii="ARIAL" w:hAnsi="ARIAL"/>
                                <w:b/>
                                <w:sz w:val="16"/>
                                <w:u w:val="single"/>
                              </w:rPr>
                              <w:t>www.virtualshareholdermeeting.com/OUST2024</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ARIAL" w:hAnsi="ARIAL"/>
                                <w:b/>
                                <w:sz w:val="16"/>
                              </w:rPr>
                            </w:pPr>
                            <w:r>
                              <w:rPr>
                                <w:rFonts w:ascii="ARIAL" w:hAnsi="ARIAL"/>
                                <w:b/>
                                <w:sz w:val="16"/>
                              </w:rPr>
                              <w:t xml:space="preserve">VOTE BY PHONE - 1-800-690-6903 </w:t>
                            </w:r>
                          </w:p>
                          <w:p>
                            <w:pPr>
                              <w:pStyle w:val="TextBody"/>
                              <w:bidi w:val="0"/>
                              <w:spacing w:before="0" w:after="0"/>
                              <w:jc w:val="both"/>
                              <w:rPr>
                                <w:rFonts w:ascii="ARIAL" w:hAnsi="ARIAL"/>
                                <w:sz w:val="16"/>
                              </w:rPr>
                            </w:pPr>
                            <w:r>
                              <w:rPr>
                                <w:rFonts w:ascii="ARIAL" w:hAnsi="ARIAL"/>
                                <w:sz w:val="16"/>
                              </w:rPr>
                              <w:t xml:space="preserve">Use any touch-tone telephone to transmit your voting instructions up until 8:59 p.m. Pacific Time on June 20, 2024. Have your proxy card in hand when you call and then follow the instructions. </w:t>
                            </w:r>
                          </w:p>
                          <w:p>
                            <w:pPr>
                              <w:pStyle w:val="TextBody"/>
                              <w:bidi w:val="0"/>
                              <w:spacing w:before="120" w:after="0"/>
                              <w:jc w:val="left"/>
                              <w:rPr>
                                <w:rFonts w:ascii="ARIAL" w:hAnsi="ARIAL"/>
                                <w:b/>
                                <w:sz w:val="16"/>
                              </w:rPr>
                            </w:pPr>
                            <w:r>
                              <w:rPr>
                                <w:rFonts w:ascii="ARIAL" w:hAnsi="ARIAL"/>
                                <w:b/>
                                <w:sz w:val="16"/>
                              </w:rPr>
                              <w:t xml:space="preserve">VOTE BY MAIL </w:t>
                            </w:r>
                          </w:p>
                          <w:p>
                            <w:pPr>
                              <w:pStyle w:val="TextBody"/>
                              <w:bidi w:val="0"/>
                              <w:spacing w:before="0" w:after="0"/>
                              <w:jc w:val="both"/>
                              <w:rPr>
                                <w:rFonts w:ascii="ARIAL" w:hAnsi="ARIAL"/>
                                <w:sz w:val="16"/>
                              </w:rPr>
                            </w:pPr>
                            <w:r>
                              <w:rPr>
                                <w:rFonts w:ascii="ARIAL" w:hAnsi="ARIAL"/>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9.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409825" cy="60007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6"/>
                                    <a:stretch>
                                      <a:fillRect/>
                                    </a:stretch>
                                  </pic:blipFill>
                                  <pic:spPr bwMode="auto">
                                    <a:xfrm>
                                      <a:off x="0" y="0"/>
                                      <a:ext cx="2409825" cy="600075"/>
                                    </a:xfrm>
                                    <a:prstGeom prst="rect">
                                      <a:avLst/>
                                    </a:prstGeom>
                                  </pic:spPr>
                                </pic:pic>
                              </a:graphicData>
                            </a:graphic>
                          </wp:inline>
                        </w:drawing>
                      </w:r>
                      <w:r>
                        <w:rPr/>
                        <w:t xml:space="preserve"> </w:t>
                      </w:r>
                    </w:p>
                    <w:p>
                      <w:pPr>
                        <w:pStyle w:val="TextBody"/>
                        <w:bidi w:val="0"/>
                        <w:spacing w:before="120" w:after="0"/>
                        <w:jc w:val="left"/>
                        <w:rPr>
                          <w:rFonts w:ascii="ARIAL" w:hAnsi="ARIAL"/>
                          <w:b/>
                          <w:sz w:val="16"/>
                        </w:rPr>
                      </w:pPr>
                      <w:r>
                        <w:rPr>
                          <w:rFonts w:ascii="ARIAL" w:hAnsi="ARIAL"/>
                          <w:b/>
                          <w:sz w:val="16"/>
                        </w:rPr>
                        <w:t xml:space="preserve">VOTE BY INTERNET </w:t>
                      </w:r>
                    </w:p>
                    <w:p>
                      <w:pPr>
                        <w:pStyle w:val="TextBody"/>
                        <w:bidi w:val="0"/>
                        <w:spacing w:before="0" w:after="0"/>
                        <w:jc w:val="both"/>
                        <w:rPr>
                          <w:rFonts w:ascii="ARIAL" w:hAnsi="ARIAL"/>
                          <w:sz w:val="16"/>
                        </w:rPr>
                      </w:pPr>
                      <w:r>
                        <w:rPr>
                          <w:rFonts w:ascii="ARIAL" w:hAnsi="ARIAL"/>
                          <w:i/>
                          <w:sz w:val="16"/>
                        </w:rPr>
                        <w:t xml:space="preserve">Before The Meeting </w:t>
                      </w:r>
                      <w:r>
                        <w:rPr>
                          <w:rFonts w:ascii="ARIAL" w:hAnsi="ARIAL"/>
                          <w:sz w:val="16"/>
                        </w:rPr>
                        <w:t xml:space="preserve">- Go to </w:t>
                      </w:r>
                      <w:r>
                        <w:rPr>
                          <w:rFonts w:ascii="ARIAL" w:hAnsi="ARIAL"/>
                          <w:b/>
                          <w:sz w:val="16"/>
                          <w:u w:val="single"/>
                        </w:rPr>
                        <w:t>www.proxyvote.com</w:t>
                      </w:r>
                      <w:r>
                        <w:rPr>
                          <w:rFonts w:ascii="ARIAL" w:hAnsi="ARIAL"/>
                          <w:b/>
                          <w:sz w:val="16"/>
                        </w:rPr>
                        <w:t xml:space="preserve"> or scan the QR Barcode above</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Use the Internet to transmit your voting instructions and for electronic delivery of information up until 8:59 p.m. Pacific Time on June 20, 2024.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6"/>
                        </w:rPr>
                      </w:pPr>
                      <w:r>
                        <w:rPr>
                          <w:rFonts w:ascii="ARIAL" w:hAnsi="ARIAL"/>
                          <w:i/>
                          <w:sz w:val="16"/>
                        </w:rPr>
                        <w:t xml:space="preserve">During The Meeting </w:t>
                      </w:r>
                      <w:r>
                        <w:rPr>
                          <w:rFonts w:ascii="ARIAL" w:hAnsi="ARIAL"/>
                          <w:sz w:val="16"/>
                        </w:rPr>
                        <w:t xml:space="preserve">- Go to </w:t>
                      </w:r>
                      <w:r>
                        <w:rPr>
                          <w:rFonts w:ascii="ARIAL" w:hAnsi="ARIAL"/>
                          <w:b/>
                          <w:sz w:val="16"/>
                          <w:u w:val="single"/>
                        </w:rPr>
                        <w:t>www.virtualshareholdermeeting.com/OUST2024</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ARIAL" w:hAnsi="ARIAL"/>
                          <w:b/>
                          <w:sz w:val="16"/>
                        </w:rPr>
                      </w:pPr>
                      <w:r>
                        <w:rPr>
                          <w:rFonts w:ascii="ARIAL" w:hAnsi="ARIAL"/>
                          <w:b/>
                          <w:sz w:val="16"/>
                        </w:rPr>
                        <w:t xml:space="preserve">VOTE BY PHONE - 1-800-690-6903 </w:t>
                      </w:r>
                    </w:p>
                    <w:p>
                      <w:pPr>
                        <w:pStyle w:val="TextBody"/>
                        <w:bidi w:val="0"/>
                        <w:spacing w:before="0" w:after="0"/>
                        <w:jc w:val="both"/>
                        <w:rPr>
                          <w:rFonts w:ascii="ARIAL" w:hAnsi="ARIAL"/>
                          <w:sz w:val="16"/>
                        </w:rPr>
                      </w:pPr>
                      <w:r>
                        <w:rPr>
                          <w:rFonts w:ascii="ARIAL" w:hAnsi="ARIAL"/>
                          <w:sz w:val="16"/>
                        </w:rPr>
                        <w:t xml:space="preserve">Use any touch-tone telephone to transmit your voting instructions up until 8:59 p.m. Pacific Time on June 20, 2024. Have your proxy card in hand when you call and then follow the instructions. </w:t>
                      </w:r>
                    </w:p>
                    <w:p>
                      <w:pPr>
                        <w:pStyle w:val="TextBody"/>
                        <w:bidi w:val="0"/>
                        <w:spacing w:before="120" w:after="0"/>
                        <w:jc w:val="left"/>
                        <w:rPr>
                          <w:rFonts w:ascii="ARIAL" w:hAnsi="ARIAL"/>
                          <w:b/>
                          <w:sz w:val="16"/>
                        </w:rPr>
                      </w:pPr>
                      <w:r>
                        <w:rPr>
                          <w:rFonts w:ascii="ARIAL" w:hAnsi="ARIAL"/>
                          <w:b/>
                          <w:sz w:val="16"/>
                        </w:rPr>
                        <w:t xml:space="preserve">VOTE BY MAIL </w:t>
                      </w:r>
                    </w:p>
                    <w:p>
                      <w:pPr>
                        <w:pStyle w:val="TextBody"/>
                        <w:bidi w:val="0"/>
                        <w:spacing w:before="0" w:after="0"/>
                        <w:jc w:val="both"/>
                        <w:rPr>
                          <w:rFonts w:ascii="ARIAL" w:hAnsi="ARIAL"/>
                          <w:sz w:val="16"/>
                        </w:rPr>
                      </w:pPr>
                      <w:r>
                        <w:rPr>
                          <w:rFonts w:ascii="ARIAL" w:hAnsi="ARIAL"/>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p>
    <w:p>
      <w:pPr>
        <w:pStyle w:val="TextBody"/>
        <w:bidi w:val="0"/>
        <w:spacing w:before="0" w:after="0"/>
        <w:jc w:val="left"/>
        <w:rPr/>
      </w:pPr>
      <w:r>
        <w:rPr/>
        <w:t> </w:t>
      </w:r>
    </w:p>
    <w:p>
      <w:pPr>
        <w:pStyle w:val="TextBody"/>
        <w:bidi w:val="0"/>
        <w:spacing w:before="200" w:after="0"/>
        <w:jc w:val="left"/>
        <w:rPr>
          <w:rFonts w:ascii="ARIAL" w:hAnsi="ARIAL"/>
          <w:sz w:val="16"/>
        </w:rPr>
      </w:pPr>
      <w:r>
        <w:rPr>
          <w:rFonts w:ascii="ARIAL" w:hAnsi="ARIAL"/>
          <w:sz w:val="16"/>
        </w:rPr>
        <w:t xml:space="preserve">TO VOTE, MARK BLOCKS BELOW IN BLUE OR BLACK INK AS FOLLOWS: </w:t>
      </w:r>
    </w:p>
    <w:p>
      <w:pPr>
        <w:pStyle w:val="TextBody"/>
        <w:bidi w:val="0"/>
        <w:spacing w:before="120" w:after="0"/>
        <w:jc w:val="right"/>
        <w:rPr>
          <w:rFonts w:ascii="ARIAL" w:hAnsi="ARIAL"/>
          <w:sz w:val="16"/>
        </w:rPr>
      </w:pPr>
      <w:r>
        <w:rPr>
          <w:rFonts w:ascii="ARIAL" w:hAnsi="ARIAL"/>
          <w:sz w:val="16"/>
        </w:rPr>
        <w:t xml:space="preserve">V50026-P12052         KEEP THIS PORTION FOR YOUR RECORDS  </w:t>
      </w:r>
    </w:p>
    <w:p>
      <w:pPr>
        <w:pStyle w:val="TextBody"/>
        <w:bidi w:val="0"/>
        <w:spacing w:before="0" w:after="0"/>
        <w:jc w:val="both"/>
        <w:rPr>
          <w:rFonts w:ascii="ARIAL" w:hAnsi="ARIAL"/>
          <w:b/>
          <w:sz w:val="14"/>
        </w:rPr>
      </w:pPr>
      <w:r>
        <w:rPr>
          <w:rFonts w:ascii="ARIAL" w:hAnsi="ARIAL"/>
          <w:b/>
          <w:sz w:val="14"/>
        </w:rPr>
        <w:t xml:space="preserve">                                                                        </w:t>
      </w:r>
    </w:p>
    <w:p>
      <w:pPr>
        <w:pStyle w:val="TextBody"/>
        <w:bidi w:val="0"/>
        <w:spacing w:before="0" w:after="0"/>
        <w:jc w:val="right"/>
        <w:rPr>
          <w:rFonts w:ascii="ARIAL" w:hAnsi="ARIAL"/>
          <w:sz w:val="16"/>
        </w:rPr>
      </w:pPr>
      <w:r>
        <w:rPr>
          <w:rFonts w:ascii="ARIAL" w:hAnsi="ARIAL"/>
          <w:sz w:val="16"/>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1664" w:type="dxa"/>
        <w:jc w:val="center"/>
        <w:tblInd w:w="0" w:type="dxa"/>
        <w:tblLayout w:type="fixed"/>
        <w:tblCellMar>
          <w:top w:w="0" w:type="dxa"/>
          <w:left w:w="0" w:type="dxa"/>
          <w:bottom w:w="0" w:type="dxa"/>
          <w:right w:w="0" w:type="dxa"/>
        </w:tblCellMar>
      </w:tblPr>
      <w:tblGrid>
        <w:gridCol w:w="140"/>
        <w:gridCol w:w="60"/>
        <w:gridCol w:w="848"/>
        <w:gridCol w:w="195"/>
        <w:gridCol w:w="848"/>
        <w:gridCol w:w="195"/>
        <w:gridCol w:w="134"/>
        <w:gridCol w:w="700"/>
        <w:gridCol w:w="134"/>
        <w:gridCol w:w="349"/>
        <w:gridCol w:w="98"/>
        <w:gridCol w:w="60"/>
        <w:gridCol w:w="395"/>
        <w:gridCol w:w="60"/>
        <w:gridCol w:w="980"/>
        <w:gridCol w:w="60"/>
        <w:gridCol w:w="755"/>
        <w:gridCol w:w="60"/>
        <w:gridCol w:w="23"/>
        <w:gridCol w:w="60"/>
        <w:gridCol w:w="3320"/>
        <w:gridCol w:w="60"/>
        <w:gridCol w:w="395"/>
        <w:gridCol w:w="60"/>
        <w:gridCol w:w="800"/>
        <w:gridCol w:w="60"/>
        <w:gridCol w:w="815"/>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701" w:type="dxa"/>
            <w:gridSpan w:val="11"/>
            <w:tcBorders/>
          </w:tcPr>
          <w:p>
            <w:pPr>
              <w:pStyle w:val="TableContents"/>
              <w:bidi w:val="0"/>
              <w:spacing w:before="0" w:after="283"/>
              <w:jc w:val="left"/>
              <w:rPr>
                <w:b/>
              </w:rPr>
            </w:pPr>
            <w:r>
              <w:rPr>
                <w:b/>
              </w:rPr>
              <w:t>OUSTER, INC.</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b/>
              </w:rPr>
            </w:pPr>
            <w:r>
              <w:rPr>
                <w:b/>
              </w:rPr>
              <w:t>For</w:t>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center"/>
              <w:rPr>
                <w:b/>
              </w:rPr>
            </w:pPr>
            <w:r>
              <w:rPr>
                <w:b/>
              </w:rPr>
              <w:t>Withhold</w:t>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center"/>
              <w:rPr>
                <w:b/>
              </w:rPr>
            </w:pPr>
            <w:r>
              <w:rPr>
                <w:b/>
              </w:rPr>
              <w:t>For All</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0"/>
              <w:jc w:val="both"/>
              <w:rPr>
                <w:rFonts w:ascii="ARIAL" w:hAnsi="ARIAL"/>
                <w:sz w:val="16"/>
              </w:rPr>
            </w:pPr>
            <w:r>
              <w:rPr>
                <w:rFonts w:ascii="ARIAL" w:hAnsi="ARIAL"/>
                <w:sz w:val="16"/>
              </w:rPr>
              <w:t>To withhold authority to vote for any individual</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1" w:type="dxa"/>
            <w:gridSpan w:val="9"/>
            <w:tcBorders/>
          </w:tcPr>
          <w:p>
            <w:pPr>
              <w:pStyle w:val="TableContents"/>
              <w:bidi w:val="0"/>
              <w:spacing w:before="0" w:after="0"/>
              <w:jc w:val="left"/>
              <w:rPr/>
            </w:pPr>
            <w:r>
              <w:rPr/>
              <w:t> </w:t>
            </w:r>
          </w:p>
          <w:p>
            <w:pPr>
              <w:pStyle w:val="TableContents"/>
              <w:bidi w:val="0"/>
              <w:spacing w:before="120" w:after="20"/>
              <w:jc w:val="left"/>
              <w:rPr>
                <w:rFonts w:ascii="ARIAL" w:hAnsi="ARIAL"/>
                <w:b/>
                <w:sz w:val="16"/>
              </w:rPr>
            </w:pPr>
            <w:r>
              <w:rPr>
                <w:rFonts w:ascii="ARIAL" w:hAnsi="ARIAL"/>
                <w:b/>
                <w:sz w:val="16"/>
              </w:rPr>
              <w:t>The Board of Directors recommends you vote FOR the following:</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b/>
              </w:rPr>
            </w:pPr>
            <w:r>
              <w:rPr>
                <w:b/>
              </w:rPr>
              <w:t>All</w:t>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center"/>
              <w:rPr>
                <w:b/>
              </w:rPr>
            </w:pPr>
            <w:r>
              <w:rPr>
                <w:b/>
              </w:rPr>
              <w:t>All</w:t>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center"/>
              <w:rPr>
                <w:b/>
              </w:rPr>
            </w:pPr>
            <w:r>
              <w:rPr>
                <w:b/>
              </w:rPr>
              <w:t>Except</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0"/>
              <w:jc w:val="both"/>
              <w:rPr>
                <w:rFonts w:ascii="ARIAL" w:hAnsi="ARIAL"/>
                <w:sz w:val="16"/>
              </w:rPr>
            </w:pPr>
            <w:r>
              <w:rPr>
                <w:rFonts w:ascii="ARIAL" w:hAnsi="ARIAL"/>
                <w:sz w:val="16"/>
              </w:rPr>
              <w:t>nominee(s), mark For All Except and write the</w:t>
            </w:r>
          </w:p>
          <w:p>
            <w:pPr>
              <w:pStyle w:val="TableContents"/>
              <w:bidi w:val="0"/>
              <w:spacing w:before="0" w:after="20"/>
              <w:jc w:val="left"/>
              <w:rPr>
                <w:rFonts w:ascii="ARIAL" w:hAnsi="ARIAL"/>
                <w:sz w:val="16"/>
              </w:rPr>
            </w:pPr>
            <w:r>
              <w:rPr>
                <w:rFonts w:ascii="ARIAL" w:hAnsi="ARIAL"/>
                <w:sz w:val="16"/>
              </w:rPr>
              <w:t>number(s) of the nominee(s) on the line below.</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bottom"/>
          </w:tcPr>
          <w:p>
            <w:pPr>
              <w:pStyle w:val="TableContents"/>
              <w:bidi w:val="0"/>
              <w:spacing w:before="0" w:after="283"/>
              <w:jc w:val="left"/>
              <w:rPr/>
            </w:pPr>
            <w:r>
              <w:rPr/>
              <w:t> </w:t>
            </w:r>
          </w:p>
        </w:tc>
        <w:tc>
          <w:tcPr>
            <w:tcW w:w="815" w:type="dxa"/>
            <w:tcBorders>
              <w:top w:val="single" w:sz="16" w:space="0" w:color="000000"/>
              <w:right w:val="single" w:sz="16" w:space="0" w:color="000000"/>
            </w:tcBorders>
            <w:tcMar>
              <w:top w:w="28" w:type="dxa"/>
              <w:right w:w="40" w:type="dxa"/>
            </w:tcMar>
          </w:tcPr>
          <w:p>
            <w:pPr>
              <w:pStyle w:val="TableContents"/>
              <w:bidi w:val="0"/>
              <w:spacing w:before="0" w:after="283"/>
              <w:jc w:val="left"/>
              <w:rPr/>
            </w:pPr>
            <w:r>
              <w:rPr/>
              <w:t> </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2653" w:type="dxa"/>
            <w:gridSpan w:val="8"/>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1. </w:t>
            </w:r>
          </w:p>
        </w:tc>
        <w:tc>
          <w:tcPr>
            <w:tcW w:w="195" w:type="dxa"/>
            <w:tcBorders/>
            <w:vAlign w:val="bottom"/>
          </w:tcPr>
          <w:p>
            <w:pPr>
              <w:pStyle w:val="TableContents"/>
              <w:bidi w:val="0"/>
              <w:spacing w:before="0" w:after="283"/>
              <w:jc w:val="left"/>
              <w:rPr/>
            </w:pPr>
            <w:r>
              <w:rPr/>
              <w:t> </w:t>
            </w:r>
          </w:p>
        </w:tc>
        <w:tc>
          <w:tcPr>
            <w:tcW w:w="2458" w:type="dxa"/>
            <w:gridSpan w:val="7"/>
            <w:tcBorders/>
          </w:tcPr>
          <w:p>
            <w:pPr>
              <w:pStyle w:val="TableContents"/>
              <w:bidi w:val="0"/>
              <w:spacing w:before="0" w:after="283"/>
              <w:jc w:val="left"/>
              <w:rPr/>
            </w:pPr>
            <w:r>
              <w:rPr/>
              <w:t>Election of Class III Directors</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u w:val="single"/>
              </w:rPr>
            </w:pPr>
            <w:r>
              <w:rPr>
                <w:u w:val="single"/>
              </w:rPr>
              <w:t>                   </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177" w:type="dxa"/>
            <w:gridSpan w:val="3"/>
            <w:tcBorders/>
          </w:tcPr>
          <w:p>
            <w:pPr>
              <w:pStyle w:val="TableContents"/>
              <w:bidi w:val="0"/>
              <w:spacing w:before="0" w:after="283"/>
              <w:jc w:val="left"/>
              <w:rPr>
                <w:b/>
              </w:rPr>
            </w:pPr>
            <w:r>
              <w:rPr>
                <w:b/>
              </w:rPr>
              <w:t>Nominees:</w:t>
            </w:r>
          </w:p>
        </w:tc>
        <w:tc>
          <w:tcPr>
            <w:tcW w:w="700" w:type="dxa"/>
            <w:tcBorders/>
            <w:vAlign w:val="bottom"/>
          </w:tcPr>
          <w:p>
            <w:pPr>
              <w:pStyle w:val="TableContents"/>
              <w:bidi w:val="0"/>
              <w:spacing w:before="0" w:after="283"/>
              <w:jc w:val="left"/>
              <w:rPr/>
            </w:pPr>
            <w:r>
              <w:rPr/>
              <w:t>  </w:t>
            </w:r>
          </w:p>
        </w:tc>
        <w:tc>
          <w:tcPr>
            <w:tcW w:w="134" w:type="dxa"/>
            <w:tcBorders/>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1043" w:type="dxa"/>
            <w:gridSpan w:val="2"/>
            <w:tcBorders/>
            <w:vAlign w:val="center"/>
          </w:tcPr>
          <w:p>
            <w:pPr>
              <w:pStyle w:val="TableContents"/>
              <w:bidi w:val="0"/>
              <w:spacing w:before="0" w:after="283"/>
              <w:jc w:val="left"/>
              <w:rPr>
                <w:sz w:val="4"/>
                <w:szCs w:val="4"/>
              </w:rPr>
            </w:pPr>
            <w:r>
              <w:rPr>
                <w:sz w:val="4"/>
                <w:szCs w:val="4"/>
              </w:rPr>
            </w:r>
          </w:p>
        </w:tc>
        <w:tc>
          <w:tcPr>
            <w:tcW w:w="1610"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01)</w:t>
            </w:r>
          </w:p>
        </w:tc>
        <w:tc>
          <w:tcPr>
            <w:tcW w:w="195" w:type="dxa"/>
            <w:tcBorders/>
            <w:vAlign w:val="bottom"/>
          </w:tcPr>
          <w:p>
            <w:pPr>
              <w:pStyle w:val="TableContents"/>
              <w:bidi w:val="0"/>
              <w:spacing w:before="0" w:after="283"/>
              <w:jc w:val="left"/>
              <w:rPr/>
            </w:pPr>
            <w:r>
              <w:rPr/>
              <w:t> </w:t>
            </w:r>
          </w:p>
        </w:tc>
        <w:tc>
          <w:tcPr>
            <w:tcW w:w="1415" w:type="dxa"/>
            <w:gridSpan w:val="5"/>
            <w:tcBorders/>
          </w:tcPr>
          <w:p>
            <w:pPr>
              <w:pStyle w:val="TableContents"/>
              <w:bidi w:val="0"/>
              <w:spacing w:before="0" w:after="283"/>
              <w:jc w:val="left"/>
              <w:rPr/>
            </w:pPr>
            <w:r>
              <w:rPr/>
              <w:t>Susan Heystee</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rHeight w:val="3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1043" w:type="dxa"/>
            <w:gridSpan w:val="2"/>
            <w:tcBorders/>
            <w:vAlign w:val="center"/>
          </w:tcPr>
          <w:p>
            <w:pPr>
              <w:pStyle w:val="TableContents"/>
              <w:bidi w:val="0"/>
              <w:spacing w:before="0" w:after="283"/>
              <w:jc w:val="left"/>
              <w:rPr>
                <w:sz w:val="4"/>
                <w:szCs w:val="4"/>
              </w:rPr>
            </w:pPr>
            <w:r>
              <w:rPr>
                <w:sz w:val="4"/>
                <w:szCs w:val="4"/>
              </w:rPr>
            </w:r>
          </w:p>
        </w:tc>
        <w:tc>
          <w:tcPr>
            <w:tcW w:w="1610"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02)</w:t>
            </w:r>
          </w:p>
        </w:tc>
        <w:tc>
          <w:tcPr>
            <w:tcW w:w="195" w:type="dxa"/>
            <w:tcBorders/>
            <w:vAlign w:val="bottom"/>
          </w:tcPr>
          <w:p>
            <w:pPr>
              <w:pStyle w:val="TableContents"/>
              <w:bidi w:val="0"/>
              <w:spacing w:before="0" w:after="283"/>
              <w:jc w:val="left"/>
              <w:rPr/>
            </w:pPr>
            <w:r>
              <w:rPr/>
              <w:t> </w:t>
            </w:r>
          </w:p>
        </w:tc>
        <w:tc>
          <w:tcPr>
            <w:tcW w:w="1415" w:type="dxa"/>
            <w:gridSpan w:val="5"/>
            <w:tcBorders/>
          </w:tcPr>
          <w:p>
            <w:pPr>
              <w:pStyle w:val="TableContents"/>
              <w:bidi w:val="0"/>
              <w:spacing w:before="0" w:after="283"/>
              <w:jc w:val="left"/>
              <w:rPr/>
            </w:pPr>
            <w:r>
              <w:rPr/>
              <w:t>Angus Pacala</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rHeight w:val="3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1043" w:type="dxa"/>
            <w:gridSpan w:val="2"/>
            <w:tcBorders/>
            <w:vAlign w:val="center"/>
          </w:tcPr>
          <w:p>
            <w:pPr>
              <w:pStyle w:val="TableContents"/>
              <w:bidi w:val="0"/>
              <w:spacing w:before="0" w:after="283"/>
              <w:jc w:val="left"/>
              <w:rPr>
                <w:sz w:val="4"/>
                <w:szCs w:val="4"/>
              </w:rPr>
            </w:pPr>
            <w:r>
              <w:rPr>
                <w:sz w:val="4"/>
                <w:szCs w:val="4"/>
              </w:rPr>
            </w:r>
          </w:p>
        </w:tc>
        <w:tc>
          <w:tcPr>
            <w:tcW w:w="1610"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03)</w:t>
            </w:r>
          </w:p>
        </w:tc>
        <w:tc>
          <w:tcPr>
            <w:tcW w:w="195" w:type="dxa"/>
            <w:tcBorders/>
            <w:vAlign w:val="bottom"/>
          </w:tcPr>
          <w:p>
            <w:pPr>
              <w:pStyle w:val="TableContents"/>
              <w:bidi w:val="0"/>
              <w:spacing w:before="0" w:after="283"/>
              <w:jc w:val="left"/>
              <w:rPr/>
            </w:pPr>
            <w:r>
              <w:rPr/>
              <w:t> </w:t>
            </w:r>
          </w:p>
        </w:tc>
        <w:tc>
          <w:tcPr>
            <w:tcW w:w="1415" w:type="dxa"/>
            <w:gridSpan w:val="5"/>
            <w:tcBorders/>
          </w:tcPr>
          <w:p>
            <w:pPr>
              <w:pStyle w:val="TableContents"/>
              <w:bidi w:val="0"/>
              <w:spacing w:before="0" w:after="283"/>
              <w:jc w:val="left"/>
              <w:rPr/>
            </w:pPr>
            <w:r>
              <w:rPr/>
              <w:t>Theodore L. Tewksbury, Ph.D.</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9334" w:type="dxa"/>
            <w:gridSpan w:val="20"/>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74" w:type="dxa"/>
            <w:gridSpan w:val="19"/>
            <w:tcBorders/>
          </w:tcPr>
          <w:p>
            <w:pPr>
              <w:pStyle w:val="TableContents"/>
              <w:bidi w:val="0"/>
              <w:spacing w:before="0" w:after="283"/>
              <w:jc w:val="left"/>
              <w:rPr>
                <w:b/>
              </w:rPr>
            </w:pPr>
            <w:r>
              <w:rPr>
                <w:b/>
              </w:rPr>
              <w:t>The Board of Directors recommends you vote FOR Proposals 2, 3, 4 and 5:</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b/>
              </w:rPr>
            </w:pPr>
            <w:r>
              <w:rPr>
                <w:b/>
              </w:rPr>
              <w:t>For</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center"/>
              <w:rPr>
                <w:b/>
              </w:rPr>
            </w:pPr>
            <w:r>
              <w:rPr>
                <w:b/>
              </w:rPr>
              <w:t>Against</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center"/>
              <w:rPr>
                <w:b/>
              </w:rPr>
            </w:pPr>
            <w:r>
              <w:rPr>
                <w:b/>
              </w:rPr>
              <w:t>Abstain</w:t>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8426" w:type="dxa"/>
            <w:gridSpan w:val="18"/>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2.</w:t>
            </w:r>
          </w:p>
        </w:tc>
        <w:tc>
          <w:tcPr>
            <w:tcW w:w="195" w:type="dxa"/>
            <w:tcBorders/>
            <w:vAlign w:val="bottom"/>
          </w:tcPr>
          <w:p>
            <w:pPr>
              <w:pStyle w:val="TableContents"/>
              <w:bidi w:val="0"/>
              <w:spacing w:before="0" w:after="283"/>
              <w:jc w:val="left"/>
              <w:rPr/>
            </w:pPr>
            <w:r>
              <w:rPr/>
              <w:t> </w:t>
            </w:r>
          </w:p>
        </w:tc>
        <w:tc>
          <w:tcPr>
            <w:tcW w:w="8231" w:type="dxa"/>
            <w:gridSpan w:val="17"/>
            <w:tcBorders/>
          </w:tcPr>
          <w:p>
            <w:pPr>
              <w:pStyle w:val="TableContents"/>
              <w:bidi w:val="0"/>
              <w:spacing w:before="0" w:after="283"/>
              <w:jc w:val="left"/>
              <w:rPr/>
            </w:pPr>
            <w:r>
              <w:rPr/>
              <w:t>Ratification of the appointment of PricewaterhouseCoopers LLP as the Companys independent registered public accounting firm for the fiscal year ending December 31, 2024.</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center"/>
              <w:rPr/>
            </w:pPr>
            <w:r>
              <w:rPr/>
              <w:t>☐</w:t>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8426" w:type="dxa"/>
            <w:gridSpan w:val="18"/>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3.</w:t>
            </w:r>
          </w:p>
        </w:tc>
        <w:tc>
          <w:tcPr>
            <w:tcW w:w="195" w:type="dxa"/>
            <w:tcBorders/>
            <w:vAlign w:val="bottom"/>
          </w:tcPr>
          <w:p>
            <w:pPr>
              <w:pStyle w:val="TableContents"/>
              <w:bidi w:val="0"/>
              <w:spacing w:before="0" w:after="283"/>
              <w:jc w:val="left"/>
              <w:rPr/>
            </w:pPr>
            <w:r>
              <w:rPr/>
              <w:t> </w:t>
            </w:r>
          </w:p>
        </w:tc>
        <w:tc>
          <w:tcPr>
            <w:tcW w:w="8231" w:type="dxa"/>
            <w:gridSpan w:val="17"/>
            <w:tcBorders/>
          </w:tcPr>
          <w:p>
            <w:pPr>
              <w:pStyle w:val="TableContents"/>
              <w:bidi w:val="0"/>
              <w:spacing w:before="0" w:after="283"/>
              <w:jc w:val="left"/>
              <w:rPr/>
            </w:pPr>
            <w:r>
              <w:rPr/>
              <w:t>Approval, on an advisory (non-binding) basis, of the compensation of the Companys named executive officers.</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center"/>
              <w:rPr/>
            </w:pPr>
            <w:r>
              <w:rPr/>
              <w:t>☐</w:t>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8426" w:type="dxa"/>
            <w:gridSpan w:val="18"/>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4.</w:t>
            </w:r>
          </w:p>
        </w:tc>
        <w:tc>
          <w:tcPr>
            <w:tcW w:w="195" w:type="dxa"/>
            <w:tcBorders/>
            <w:vAlign w:val="bottom"/>
          </w:tcPr>
          <w:p>
            <w:pPr>
              <w:pStyle w:val="TableContents"/>
              <w:bidi w:val="0"/>
              <w:spacing w:before="0" w:after="283"/>
              <w:jc w:val="left"/>
              <w:rPr/>
            </w:pPr>
            <w:r>
              <w:rPr/>
              <w:t> </w:t>
            </w:r>
          </w:p>
        </w:tc>
        <w:tc>
          <w:tcPr>
            <w:tcW w:w="8231" w:type="dxa"/>
            <w:gridSpan w:val="17"/>
            <w:tcBorders/>
          </w:tcPr>
          <w:p>
            <w:pPr>
              <w:pStyle w:val="TableContents"/>
              <w:bidi w:val="0"/>
              <w:spacing w:before="0" w:after="283"/>
              <w:jc w:val="left"/>
              <w:rPr/>
            </w:pPr>
            <w:r>
              <w:rPr/>
              <w:t>Approval of the amended and restated 2022 Employee Stock Purchase Plan to increase the number of shares authorized for issuance.</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center"/>
              <w:rPr/>
            </w:pPr>
            <w:r>
              <w:rPr/>
              <w:t>☐</w:t>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c>
          <w:tcPr>
            <w:tcW w:w="8426" w:type="dxa"/>
            <w:gridSpan w:val="18"/>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tcPr>
          <w:p>
            <w:pPr>
              <w:pStyle w:val="TableContents"/>
              <w:bidi w:val="0"/>
              <w:spacing w:before="0" w:after="283"/>
              <w:jc w:val="left"/>
              <w:rPr/>
            </w:pPr>
            <w:r>
              <w:rPr/>
              <w:t>5.</w:t>
            </w:r>
          </w:p>
        </w:tc>
        <w:tc>
          <w:tcPr>
            <w:tcW w:w="195" w:type="dxa"/>
            <w:tcBorders/>
            <w:vAlign w:val="bottom"/>
          </w:tcPr>
          <w:p>
            <w:pPr>
              <w:pStyle w:val="TableContents"/>
              <w:bidi w:val="0"/>
              <w:spacing w:before="0" w:after="283"/>
              <w:jc w:val="left"/>
              <w:rPr/>
            </w:pPr>
            <w:r>
              <w:rPr/>
              <w:t> </w:t>
            </w:r>
          </w:p>
        </w:tc>
        <w:tc>
          <w:tcPr>
            <w:tcW w:w="8231" w:type="dxa"/>
            <w:gridSpan w:val="17"/>
            <w:tcBorders/>
          </w:tcPr>
          <w:p>
            <w:pPr>
              <w:pStyle w:val="TableContents"/>
              <w:bidi w:val="0"/>
              <w:spacing w:before="0" w:after="283"/>
              <w:jc w:val="left"/>
              <w:rPr/>
            </w:pPr>
            <w:r>
              <w:rPr/>
              <w:t>Approval of the Velodyne Lidar, Inc. 2020 Equity Incentive Plan.</w:t>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center"/>
              <w:rPr/>
            </w:pPr>
            <w:r>
              <w:rPr/>
              <w:t>☐</w:t>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10649" w:type="dxa"/>
            <w:gridSpan w:val="24"/>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89" w:type="dxa"/>
            <w:gridSpan w:val="23"/>
            <w:tcBorders/>
          </w:tcPr>
          <w:p>
            <w:pPr>
              <w:pStyle w:val="TableContents"/>
              <w:bidi w:val="0"/>
              <w:spacing w:before="0" w:after="283"/>
              <w:jc w:val="left"/>
              <w:rPr/>
            </w:pPr>
            <w:r>
              <w:rPr>
                <w:b/>
              </w:rPr>
              <w:t>NOTE:</w:t>
            </w:r>
            <w:r>
              <w:rPr/>
              <w:t xml:space="preserve"> Such other business as may properly come before the meeting or any continuation, postponement or adjournment thereof.</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r>
        <w:trPr>
          <w:trHeight w:val="1215" w:hRule="atLeast"/>
        </w:trPr>
        <w:tc>
          <w:tcPr>
            <w:tcW w:w="140" w:type="dxa"/>
            <w:tcBorders/>
            <w:vAlign w:val="center"/>
          </w:tcPr>
          <w:p>
            <w:pPr>
              <w:pStyle w:val="TableContents"/>
              <w:bidi w:val="0"/>
              <w:spacing w:before="0" w:after="283"/>
              <w:jc w:val="left"/>
              <w:rPr>
                <w:sz w:val="4"/>
                <w:szCs w:val="4"/>
              </w:rPr>
            </w:pPr>
            <w:r>
              <w:rPr>
                <w:sz w:val="4"/>
                <w:szCs w:val="4"/>
              </w:rPr>
            </w:r>
          </w:p>
        </w:tc>
        <w:tc>
          <w:tcPr>
            <w:tcW w:w="5954" w:type="dxa"/>
            <w:gridSpan w:val="18"/>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894" w:type="dxa"/>
            <w:gridSpan w:val="17"/>
            <w:tcBorders/>
          </w:tcPr>
          <w:p>
            <w:pPr>
              <w:pStyle w:val="TableContents"/>
              <w:bidi w:val="0"/>
              <w:spacing w:before="0" w:after="0"/>
              <w:jc w:val="both"/>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4900" w:type="pct"/>
        <w:jc w:val="center"/>
        <w:tblInd w:w="0" w:type="dxa"/>
        <w:tblLayout w:type="fixed"/>
        <w:tblCellMar>
          <w:top w:w="0" w:type="dxa"/>
          <w:left w:w="0" w:type="dxa"/>
          <w:bottom w:w="0" w:type="dxa"/>
          <w:right w:w="0" w:type="dxa"/>
        </w:tblCellMar>
      </w:tblPr>
      <w:tblGrid>
        <w:gridCol w:w="22"/>
        <w:gridCol w:w="96"/>
        <w:gridCol w:w="167"/>
        <w:gridCol w:w="96"/>
        <w:gridCol w:w="3483"/>
        <w:gridCol w:w="96"/>
        <w:gridCol w:w="508"/>
        <w:gridCol w:w="121"/>
        <w:gridCol w:w="23"/>
        <w:gridCol w:w="121"/>
        <w:gridCol w:w="1534"/>
        <w:gridCol w:w="121"/>
        <w:gridCol w:w="23"/>
        <w:gridCol w:w="96"/>
        <w:gridCol w:w="2741"/>
        <w:gridCol w:w="96"/>
        <w:gridCol w:w="508"/>
        <w:gridCol w:w="119"/>
        <w:gridCol w:w="29"/>
      </w:tblGrid>
      <w:tr>
        <w:trPr/>
        <w:tc>
          <w:tcPr>
            <w:tcW w:w="2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67" w:type="dxa"/>
            <w:tcBorders>
              <w:right w:val="single" w:sz="2" w:space="0" w:color="000000"/>
            </w:tcBorders>
            <w:tcMar>
              <w:right w:w="28" w:type="dxa"/>
            </w:tcMar>
          </w:tcPr>
          <w:p>
            <w:pPr>
              <w:pStyle w:val="TableContents"/>
              <w:bidi w:val="0"/>
              <w:spacing w:before="0" w:after="283"/>
              <w:jc w:val="left"/>
              <w:rPr/>
            </w:pPr>
            <w:r>
              <w:rPr/>
              <w:t> </w:t>
            </w:r>
          </w:p>
        </w:tc>
        <w:tc>
          <w:tcPr>
            <w:tcW w:w="96"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3483" w:type="dxa"/>
            <w:tcBorders>
              <w:top w:val="single" w:sz="2" w:space="0" w:color="000000"/>
              <w:bottom w:val="single" w:sz="12" w:space="0" w:color="000000"/>
              <w:right w:val="single" w:sz="2" w:space="0" w:color="000000"/>
            </w:tcBorders>
            <w:tcMar>
              <w:top w:w="28" w:type="dxa"/>
              <w:bottom w:w="28" w:type="dxa"/>
              <w:right w:w="28" w:type="dxa"/>
            </w:tcMar>
          </w:tcPr>
          <w:p>
            <w:pPr>
              <w:pStyle w:val="TableContents"/>
              <w:bidi w:val="0"/>
              <w:spacing w:before="0" w:after="0"/>
              <w:jc w:val="both"/>
              <w:rPr/>
            </w:pPr>
            <w:r>
              <w:rPr/>
              <w:t> </w:t>
            </w:r>
          </w:p>
        </w:tc>
        <w:tc>
          <w:tcPr>
            <w:tcW w:w="96"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508" w:type="dxa"/>
            <w:tcBorders>
              <w:top w:val="single" w:sz="2" w:space="0" w:color="000000"/>
              <w:bottom w:val="single" w:sz="1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3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6"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741" w:type="dxa"/>
            <w:tcBorders>
              <w:top w:val="single" w:sz="2" w:space="0" w:color="000000"/>
              <w:bottom w:val="single" w:sz="1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96"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508" w:type="dxa"/>
            <w:tcBorders>
              <w:top w:val="single" w:sz="2" w:space="0" w:color="000000"/>
              <w:bottom w:val="single" w:sz="1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9" w:type="dxa"/>
            <w:tcBorders/>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6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483" w:type="dxa"/>
            <w:tcBorders/>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Signature [PLEASE SIGN WITHIN BOX]   </w:t>
            </w:r>
          </w:p>
        </w:tc>
        <w:tc>
          <w:tcPr>
            <w:tcW w:w="96" w:type="dxa"/>
            <w:tcBorders/>
            <w:vAlign w:val="bottom"/>
          </w:tcPr>
          <w:p>
            <w:pPr>
              <w:pStyle w:val="TableContents"/>
              <w:bidi w:val="0"/>
              <w:spacing w:before="0" w:after="283"/>
              <w:jc w:val="left"/>
              <w:rPr/>
            </w:pPr>
            <w:r>
              <w:rPr/>
              <w:t> </w:t>
            </w:r>
          </w:p>
        </w:tc>
        <w:tc>
          <w:tcPr>
            <w:tcW w:w="508" w:type="dxa"/>
            <w:tcBorders/>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Date  </w:t>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34"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2741" w:type="dxa"/>
            <w:tcBorders/>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Signature (Joint Owners)</w:t>
            </w:r>
          </w:p>
        </w:tc>
        <w:tc>
          <w:tcPr>
            <w:tcW w:w="96" w:type="dxa"/>
            <w:tcBorders/>
            <w:vAlign w:val="bottom"/>
          </w:tcPr>
          <w:p>
            <w:pPr>
              <w:pStyle w:val="TableContents"/>
              <w:bidi w:val="0"/>
              <w:spacing w:before="0" w:after="283"/>
              <w:jc w:val="left"/>
              <w:rPr/>
            </w:pPr>
            <w:r>
              <w:rPr/>
              <w:t> </w:t>
            </w:r>
          </w:p>
        </w:tc>
        <w:tc>
          <w:tcPr>
            <w:tcW w:w="508" w:type="dxa"/>
            <w:tcBorders/>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Date  </w:t>
            </w:r>
          </w:p>
        </w:tc>
        <w:tc>
          <w:tcPr>
            <w:tcW w:w="119" w:type="dxa"/>
            <w:tcBorders/>
            <w:vAlign w:val="bottom"/>
          </w:tcPr>
          <w:p>
            <w:pPr>
              <w:pStyle w:val="TableContents"/>
              <w:bidi w:val="0"/>
              <w:spacing w:before="0" w:after="283"/>
              <w:jc w:val="left"/>
              <w:rPr/>
            </w:pPr>
            <w:r>
              <w:rPr/>
              <w:t>  </w:t>
            </w:r>
          </w:p>
        </w:tc>
        <w:tc>
          <w:tcPr>
            <w:tcW w:w="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20"/>
        </w:rPr>
      </w:pPr>
      <w:r>
        <w:rPr>
          <w:rFonts w:ascii="ARIAL" w:hAnsi="ARIAL"/>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240" w:after="0"/>
        <w:jc w:val="both"/>
        <w:rPr>
          <w:rFonts w:ascii="ARIAL" w:hAnsi="ARIAL"/>
          <w:b/>
          <w:sz w:val="14"/>
        </w:rPr>
      </w:pPr>
      <w:r>
        <w:rPr>
          <w:rFonts w:ascii="ARIAL" w:hAnsi="ARIAL"/>
          <w:b/>
          <w:sz w:val="14"/>
        </w:rPr>
        <w:t xml:space="preserve">                                                                        </w:t>
      </w:r>
    </w:p>
    <w:p>
      <w:pPr>
        <w:pStyle w:val="TextBody"/>
        <w:bidi w:val="0"/>
        <w:spacing w:before="120" w:after="0"/>
        <w:jc w:val="right"/>
        <w:rPr>
          <w:rFonts w:ascii="ARIAL" w:hAnsi="ARIAL"/>
          <w:sz w:val="14"/>
        </w:rPr>
      </w:pPr>
      <w:r>
        <w:rPr>
          <w:rFonts w:ascii="ARIAL" w:hAnsi="ARIAL"/>
          <w:sz w:val="14"/>
        </w:rPr>
        <w:t xml:space="preserve">V50027-P12052   </w:t>
      </w:r>
    </w:p>
    <w:p>
      <w:pPr>
        <w:pStyle w:val="TextBody"/>
        <w:bidi w:val="0"/>
        <w:spacing w:before="0" w:after="0"/>
        <w:jc w:val="left"/>
        <w:rPr/>
      </w:pPr>
      <w:r>
        <w:rPr/>
        <w:t> </w:t>
      </w:r>
    </w:p>
    <w:p>
      <w:pPr>
        <w:pStyle w:val="TextBody"/>
        <w:pBdr/>
        <w:bidi w:val="0"/>
        <w:spacing w:before="0" w:after="0"/>
        <w:jc w:val="center"/>
        <w:rPr>
          <w:bdr w:val="single" w:sz="16" w:space="2" w:color="000000"/>
        </w:rPr>
      </w:pPr>
      <w:r>
        <w:rPr>
          <w:bdr w:val="single" w:sz="16" w:space="2" w:color="000000"/>
        </w:rPr>
        <w:t xml:space="preserve">  </w:t>
      </w:r>
    </w:p>
    <w:p>
      <w:pPr>
        <w:pStyle w:val="TextBody"/>
        <w:bidi w:val="0"/>
        <w:spacing w:before="0" w:after="0"/>
        <w:jc w:val="center"/>
        <w:rPr>
          <w:bdr w:val="single" w:sz="16" w:space="2" w:color="000000"/>
        </w:rPr>
      </w:pPr>
      <w:r>
        <w:rPr>
          <w:bdr w:val="single" w:sz="16" w:space="2" w:color="000000"/>
        </w:rPr>
        <w:t xml:space="preserve">  </w:t>
      </w:r>
    </w:p>
    <w:p>
      <w:pPr>
        <w:pStyle w:val="TextBody"/>
        <w:bidi w:val="0"/>
        <w:spacing w:before="0" w:after="0"/>
        <w:jc w:val="center"/>
        <w:rPr>
          <w:rFonts w:ascii="ARIAL" w:hAnsi="ARIAL"/>
          <w:b/>
          <w:sz w:val="26"/>
          <w:bdr w:val="single" w:sz="16" w:space="2" w:color="000000"/>
        </w:rPr>
      </w:pPr>
      <w:r>
        <w:rPr>
          <w:rFonts w:ascii="ARIAL" w:hAnsi="ARIAL"/>
          <w:b/>
          <w:sz w:val="26"/>
          <w:bdr w:val="single" w:sz="16" w:space="2" w:color="000000"/>
        </w:rPr>
        <w:t xml:space="preserve">OUSTER, INC. </w:t>
      </w:r>
    </w:p>
    <w:p>
      <w:pPr>
        <w:pStyle w:val="TextBody"/>
        <w:bidi w:val="0"/>
        <w:spacing w:before="320" w:after="0"/>
        <w:jc w:val="center"/>
        <w:rPr>
          <w:rFonts w:ascii="ARIAL" w:hAnsi="ARIAL"/>
          <w:b/>
          <w:sz w:val="23"/>
          <w:bdr w:val="single" w:sz="16" w:space="2" w:color="000000"/>
        </w:rPr>
      </w:pPr>
      <w:r>
        <w:rPr>
          <w:rFonts w:ascii="ARIAL" w:hAnsi="ARIAL"/>
          <w:b/>
          <w:sz w:val="23"/>
          <w:bdr w:val="single" w:sz="16" w:space="2" w:color="000000"/>
        </w:rPr>
        <w:t xml:space="preserve">THIS PROXY IS SOLICITED ON BEHALF OF THE BOARD OF DIRECTORS OF </w:t>
      </w:r>
    </w:p>
    <w:p>
      <w:pPr>
        <w:pStyle w:val="TextBody"/>
        <w:bidi w:val="0"/>
        <w:spacing w:before="0" w:after="0"/>
        <w:jc w:val="center"/>
        <w:rPr>
          <w:rFonts w:ascii="ARIAL" w:hAnsi="ARIAL"/>
          <w:b/>
          <w:sz w:val="23"/>
          <w:bdr w:val="single" w:sz="16" w:space="2" w:color="000000"/>
        </w:rPr>
      </w:pPr>
      <w:r>
        <w:rPr>
          <w:rFonts w:ascii="ARIAL" w:hAnsi="ARIAL"/>
          <w:b/>
          <w:sz w:val="23"/>
          <w:bdr w:val="single" w:sz="16" w:space="2" w:color="000000"/>
        </w:rPr>
        <w:t xml:space="preserve">THE COMPANY FOR THE ANNUAL MEETING OF STOCKHOLDERS </w:t>
      </w:r>
    </w:p>
    <w:p>
      <w:pPr>
        <w:pStyle w:val="TextBody"/>
        <w:bidi w:val="0"/>
        <w:spacing w:before="0" w:after="0"/>
        <w:jc w:val="center"/>
        <w:rPr>
          <w:rFonts w:ascii="ARIAL" w:hAnsi="ARIAL"/>
          <w:b/>
          <w:sz w:val="23"/>
          <w:bdr w:val="single" w:sz="16" w:space="2" w:color="000000"/>
        </w:rPr>
      </w:pPr>
      <w:r>
        <w:rPr>
          <w:rFonts w:ascii="ARIAL" w:hAnsi="ARIAL"/>
          <w:b/>
          <w:sz w:val="23"/>
          <w:bdr w:val="single" w:sz="16" w:space="2" w:color="000000"/>
        </w:rPr>
        <w:t xml:space="preserve">JUNE 21, 2024, 10:00 A.M. PACIFIC TIME </w:t>
      </w:r>
    </w:p>
    <w:p>
      <w:pPr>
        <w:pStyle w:val="TextBody"/>
        <w:bidi w:val="0"/>
        <w:spacing w:before="240" w:after="0"/>
        <w:jc w:val="both"/>
        <w:rPr>
          <w:rFonts w:ascii="ARIAL" w:hAnsi="ARIAL"/>
          <w:sz w:val="20"/>
          <w:bdr w:val="single" w:sz="16" w:space="2" w:color="000000"/>
        </w:rPr>
      </w:pPr>
      <w:r>
        <w:rPr>
          <w:rFonts w:ascii="ARIAL" w:hAnsi="ARIAL"/>
          <w:sz w:val="20"/>
          <w:bdr w:val="single" w:sz="16" w:space="2" w:color="000000"/>
        </w:rPr>
        <w:t xml:space="preserve">The undersigned stockholder(s) hereby appoint(s) Angus Pacala, Mark Weinswig and Megan Chung, or any of them, as proxies, each with the power to appoint (his/her) substitute, and hereby authorize(s) them to represent and to vote, as designated on the reverse side of this ballot, all of the shares of common stock of Ouster, Inc. that the stockholder(s) is/are entitled to vote at the Annual Meeting of Stockholders to be held at 10:00 a.m., Pacific Time on Friday, June 21, 2024, which will be conducted via live webcast accessible at www.virtualshareholdermeeting.com/OUST2024, and any continuation, adjournment or postponement thereof. All proxies heretofore given by the undersigned in respect of the Annual Meeting are hereby revoked. </w:t>
      </w:r>
    </w:p>
    <w:p>
      <w:pPr>
        <w:pStyle w:val="TextBody"/>
        <w:bidi w:val="0"/>
        <w:spacing w:before="240" w:after="0"/>
        <w:jc w:val="both"/>
        <w:rPr>
          <w:rFonts w:ascii="ARIAL" w:hAnsi="ARIAL"/>
          <w:sz w:val="20"/>
          <w:bdr w:val="single" w:sz="16" w:space="2" w:color="000000"/>
        </w:rPr>
      </w:pPr>
      <w:r>
        <w:rPr>
          <w:rFonts w:ascii="ARIAL" w:hAnsi="ARIAL"/>
          <w:sz w:val="20"/>
          <w:bdr w:val="single" w:sz="16" w:space="2" w:color="000000"/>
        </w:rPr>
        <w:t xml:space="preserve">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 </w:t>
      </w:r>
    </w:p>
    <w:p>
      <w:pPr>
        <w:pStyle w:val="TextBody"/>
        <w:bidi w:val="0"/>
        <w:spacing w:before="240" w:after="0"/>
        <w:jc w:val="both"/>
        <w:rPr>
          <w:rFonts w:ascii="ARIAL" w:hAnsi="ARIAL"/>
          <w:b/>
          <w:sz w:val="20"/>
          <w:bdr w:val="single" w:sz="16" w:space="2" w:color="000000"/>
        </w:rPr>
      </w:pPr>
      <w:r>
        <w:rPr>
          <w:rFonts w:ascii="ARIAL" w:hAnsi="ARIAL"/>
          <w:b/>
          <w:sz w:val="20"/>
          <w:bdr w:val="single" w:sz="16" w:space="2" w:color="000000"/>
        </w:rPr>
        <w:t xml:space="preserve">THIS PROXY, WHEN PROPERLY EXECUTED, WILL BE VOTED AS DIRECTED BY THE UNDERSIGNED STOCKHOLDER(S). IF NO SUCH DIRECTION IS MADE, THIS PROXY WILL BE VOTED IN ACCORDANCE WITH THE BOARD OF DIRECTORS RECOMMENDATIONS. </w:t>
      </w:r>
    </w:p>
    <w:p>
      <w:pPr>
        <w:pStyle w:val="TextBody"/>
        <w:bidi w:val="0"/>
        <w:spacing w:before="240" w:after="0"/>
        <w:jc w:val="center"/>
        <w:rPr>
          <w:rFonts w:ascii="ARIAL" w:hAnsi="ARIAL"/>
          <w:b/>
          <w:sz w:val="20"/>
          <w:bdr w:val="single" w:sz="16" w:space="2" w:color="000000"/>
        </w:rPr>
      </w:pPr>
      <w:r>
        <w:rPr>
          <w:rFonts w:ascii="ARIAL" w:hAnsi="ARIAL"/>
          <w:b/>
          <w:sz w:val="20"/>
          <w:bdr w:val="single" w:sz="16" w:space="2" w:color="000000"/>
        </w:rPr>
        <w:t xml:space="preserve">PLEASE MARK, SIGN, DATE AND RETURN THIS PROXY CARD PROMPTLY USING THE ENCLOSED REPLY ENVELOPE </w:t>
      </w:r>
    </w:p>
    <w:p>
      <w:pPr>
        <w:pStyle w:val="TextBody"/>
        <w:bidi w:val="0"/>
        <w:spacing w:before="24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p>
      <w:pPr>
        <w:pStyle w:val="TextBody"/>
        <w:pBdr/>
        <w:bidi w:val="0"/>
        <w:spacing w:before="0" w:after="0"/>
        <w:jc w:val="center"/>
        <w:rPr>
          <w:bdr w:val="single" w:sz="16" w:space="2" w:color="000000"/>
        </w:rPr>
      </w:pPr>
      <w:r>
        <w:rPr>
          <w:bdr w:val="single" w:sz="16" w:space="2" w:color="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3.jpeg"/><Relationship Id="rId13" Type="http://schemas.openxmlformats.org/officeDocument/2006/relationships/image" Target="media/image7.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8.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88</Pages>
  <Words>47160</Words>
  <Characters>241820</Characters>
  <CharactersWithSpaces>289436</CharactersWithSpaces>
  <Paragraphs>3800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