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Washington, D.C. 20549</w:t>
      </w:r>
    </w:p>
    <w:p>
      <w:pPr>
        <w:spacing w:after="0" w:line="6" w:lineRule="exact"/>
        <w:rPr>
          <w:sz w:val="24"/>
          <w:szCs w:val="24"/>
          <w:color w:val="auto"/>
        </w:rPr>
      </w:pPr>
    </w:p>
    <w:p>
      <w:pPr>
        <w:ind w:left="4580"/>
        <w:spacing w:after="0"/>
        <w:rPr>
          <w:sz w:val="20"/>
          <w:szCs w:val="20"/>
          <w:color w:val="auto"/>
        </w:rPr>
      </w:pPr>
      <w:r>
        <w:rPr>
          <w:rFonts w:ascii="Arial" w:cs="Arial" w:eastAsia="Arial" w:hAnsi="Arial"/>
          <w:sz w:val="18"/>
          <w:szCs w:val="18"/>
          <w:color w:val="auto"/>
        </w:rPr>
        <w:t>_______________________</w:t>
      </w:r>
    </w:p>
    <w:p>
      <w:pPr>
        <w:spacing w:after="0" w:line="13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34" w:lineRule="exact"/>
        <w:rPr>
          <w:sz w:val="24"/>
          <w:szCs w:val="24"/>
          <w:color w:val="auto"/>
        </w:rPr>
      </w:pPr>
    </w:p>
    <w:p>
      <w:pPr>
        <w:ind w:left="4580"/>
        <w:spacing w:after="0"/>
        <w:rPr>
          <w:sz w:val="20"/>
          <w:szCs w:val="20"/>
          <w:color w:val="auto"/>
        </w:rPr>
      </w:pPr>
      <w:r>
        <w:rPr>
          <w:rFonts w:ascii="Arial" w:cs="Arial" w:eastAsia="Arial" w:hAnsi="Arial"/>
          <w:sz w:val="18"/>
          <w:szCs w:val="18"/>
          <w:color w:val="auto"/>
        </w:rPr>
        <w:t>_______________________</w:t>
      </w:r>
    </w:p>
    <w:p>
      <w:pPr>
        <w:spacing w:after="0" w:line="7" w:lineRule="exact"/>
        <w:rPr>
          <w:sz w:val="24"/>
          <w:szCs w:val="24"/>
          <w:color w:val="auto"/>
        </w:rPr>
      </w:pPr>
    </w:p>
    <w:p>
      <w:pPr>
        <w:ind w:left="1460"/>
        <w:spacing w:after="0"/>
        <w:rPr>
          <w:sz w:val="20"/>
          <w:szCs w:val="20"/>
          <w:color w:val="auto"/>
        </w:rPr>
      </w:pPr>
      <w:r>
        <w:rPr>
          <w:rFonts w:ascii="Arial" w:cs="Arial" w:eastAsia="Arial" w:hAnsi="Arial"/>
          <w:sz w:val="18"/>
          <w:szCs w:val="18"/>
          <w:color w:val="auto"/>
        </w:rPr>
        <w:t>(Mark One)</w:t>
      </w:r>
    </w:p>
    <w:p>
      <w:pPr>
        <w:spacing w:after="0" w:line="35" w:lineRule="exact"/>
        <w:rPr>
          <w:sz w:val="24"/>
          <w:szCs w:val="24"/>
          <w:color w:val="auto"/>
        </w:rPr>
      </w:pPr>
    </w:p>
    <w:p>
      <w:pPr>
        <w:ind w:left="1760" w:hanging="686"/>
        <w:spacing w:after="0"/>
        <w:tabs>
          <w:tab w:leader="none" w:pos="17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QUARTERLY REPORT PURSUANT TO SECTION 13 OR 15(d) OF THE SECURITIES EXCHANGE ACT OF 1934</w:t>
      </w:r>
    </w:p>
    <w:p>
      <w:pPr>
        <w:spacing w:after="0" w:line="9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For the quarterly period ended </w:t>
      </w:r>
      <w:r>
        <w:rPr>
          <w:rFonts w:ascii="Arial" w:cs="Arial" w:eastAsia="Arial" w:hAnsi="Arial"/>
          <w:sz w:val="18"/>
          <w:szCs w:val="18"/>
          <w:b w:val="1"/>
          <w:bCs w:val="1"/>
          <w:color w:val="auto"/>
        </w:rPr>
        <w:t>June 30, 2021</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278" w:lineRule="exact"/>
        <w:rPr>
          <w:sz w:val="24"/>
          <w:szCs w:val="24"/>
          <w:color w:val="auto"/>
        </w:rPr>
      </w:pPr>
    </w:p>
    <w:p>
      <w:pPr>
        <w:ind w:left="1760" w:hanging="686"/>
        <w:spacing w:after="0"/>
        <w:tabs>
          <w:tab w:leader="none" w:pos="17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TRANSITION REPORT PURSUANT TO SECTION 13 OR 15(d) OF THE SECURITIES EXCHANGE ACT OF 1934</w:t>
      </w:r>
    </w:p>
    <w:p>
      <w:pPr>
        <w:sectPr>
          <w:pgSz w:w="11900" w:h="16838" w:orient="portrait"/>
          <w:cols w:equalWidth="0" w:num="1">
            <w:col w:w="11240"/>
          </w:cols>
          <w:pgMar w:left="320" w:top="1295" w:right="339" w:bottom="484" w:gutter="0" w:footer="0" w:header="0"/>
        </w:sectPr>
      </w:pPr>
    </w:p>
    <w:p>
      <w:pPr>
        <w:spacing w:after="0" w:line="358" w:lineRule="exact"/>
        <w:rPr>
          <w:sz w:val="24"/>
          <w:szCs w:val="24"/>
          <w:color w:val="auto"/>
        </w:rPr>
      </w:pPr>
    </w:p>
    <w:p>
      <w:pPr>
        <w:ind w:left="3980"/>
        <w:spacing w:after="0"/>
        <w:rPr>
          <w:sz w:val="20"/>
          <w:szCs w:val="20"/>
          <w:color w:val="auto"/>
        </w:rPr>
      </w:pPr>
      <w:r>
        <w:rPr>
          <w:rFonts w:ascii="Arial" w:cs="Arial" w:eastAsia="Arial" w:hAnsi="Arial"/>
          <w:sz w:val="18"/>
          <w:szCs w:val="18"/>
          <w:color w:val="auto"/>
        </w:rPr>
        <w:t>For the transition period from</w:t>
      </w:r>
    </w:p>
    <w:p>
      <w:pPr>
        <w:spacing w:after="0" w:line="23" w:lineRule="exact"/>
        <w:rPr>
          <w:sz w:val="24"/>
          <w:szCs w:val="24"/>
          <w:color w:val="auto"/>
        </w:rPr>
      </w:pPr>
    </w:p>
    <w:p>
      <w:pPr>
        <w:ind w:left="4260"/>
        <w:spacing w:after="0"/>
        <w:rPr>
          <w:sz w:val="20"/>
          <w:szCs w:val="20"/>
          <w:color w:val="auto"/>
        </w:rPr>
      </w:pPr>
      <w:r>
        <w:rPr>
          <w:rFonts w:ascii="Arial" w:cs="Arial" w:eastAsia="Arial" w:hAnsi="Arial"/>
          <w:sz w:val="16"/>
          <w:szCs w:val="16"/>
          <w:color w:val="auto"/>
        </w:rPr>
        <w:t>Commission File Number: 001-39463</w:t>
      </w:r>
    </w:p>
    <w:p>
      <w:pPr>
        <w:spacing w:after="0" w:line="32" w:lineRule="exact"/>
        <w:rPr>
          <w:sz w:val="24"/>
          <w:szCs w:val="24"/>
          <w:color w:val="auto"/>
        </w:rPr>
      </w:pPr>
    </w:p>
    <w:p>
      <w:pPr>
        <w:ind w:left="4580"/>
        <w:spacing w:after="0"/>
        <w:rPr>
          <w:sz w:val="20"/>
          <w:szCs w:val="20"/>
          <w:color w:val="auto"/>
        </w:rPr>
      </w:pPr>
      <w:r>
        <w:rPr>
          <w:rFonts w:ascii="Arial" w:cs="Arial" w:eastAsia="Arial" w:hAnsi="Arial"/>
          <w:sz w:val="18"/>
          <w:szCs w:val="18"/>
          <w:color w:val="auto"/>
        </w:rPr>
        <w:t>_______________________</w:t>
      </w:r>
    </w:p>
    <w:p>
      <w:pPr>
        <w:spacing w:after="0" w:line="20" w:lineRule="exact"/>
        <w:rPr>
          <w:sz w:val="24"/>
          <w:szCs w:val="24"/>
          <w:color w:val="auto"/>
        </w:rPr>
      </w:pPr>
      <w:r>
        <w:rPr>
          <w:sz w:val="24"/>
          <w:szCs w:val="24"/>
          <w:color w:val="auto"/>
        </w:rPr>
        <w:br w:type="column"/>
      </w:r>
    </w:p>
    <w:p>
      <w:pPr>
        <w:spacing w:after="0" w:line="338" w:lineRule="exact"/>
        <w:rPr>
          <w:sz w:val="24"/>
          <w:szCs w:val="24"/>
          <w:color w:val="auto"/>
        </w:rPr>
      </w:pPr>
    </w:p>
    <w:p>
      <w:pPr>
        <w:spacing w:after="0"/>
        <w:rPr>
          <w:sz w:val="20"/>
          <w:szCs w:val="20"/>
          <w:color w:val="auto"/>
        </w:rPr>
      </w:pPr>
      <w:r>
        <w:rPr>
          <w:rFonts w:ascii="Arial" w:cs="Arial" w:eastAsia="Arial" w:hAnsi="Arial"/>
          <w:sz w:val="16"/>
          <w:szCs w:val="16"/>
          <w:color w:val="auto"/>
        </w:rPr>
        <w:t>to</w:t>
      </w:r>
    </w:p>
    <w:p>
      <w:pPr>
        <w:spacing w:after="0" w:line="601" w:lineRule="exact"/>
        <w:rPr>
          <w:sz w:val="24"/>
          <w:szCs w:val="24"/>
          <w:color w:val="auto"/>
        </w:rPr>
      </w:pPr>
    </w:p>
    <w:p>
      <w:pPr>
        <w:sectPr>
          <w:pgSz w:w="11900" w:h="16838" w:orient="portrait"/>
          <w:cols w:equalWidth="0" w:num="2">
            <w:col w:w="7000" w:space="120"/>
            <w:col w:w="4120"/>
          </w:cols>
          <w:pgMar w:left="320" w:top="1295" w:right="339" w:bottom="484" w:gutter="0" w:footer="0" w:header="0"/>
          <w:type w:val="continuous"/>
        </w:sectPr>
      </w:pPr>
    </w:p>
    <w:tbl>
      <w:tblPr>
        <w:tblLayout w:type="fixed"/>
        <w:tblInd w:w="0" w:type="dxa"/>
        <w:tblCellMar>
          <w:top w:w="0" w:type="dxa"/>
          <w:left w:w="0" w:type="dxa"/>
          <w:bottom w:w="0" w:type="dxa"/>
          <w:right w:w="0" w:type="dxa"/>
        </w:tblCellMar>
      </w:tblPr>
      <w:tr>
        <w:trPr>
          <w:trHeight w:val="443"/>
        </w:trPr>
        <w:tc>
          <w:tcPr>
            <w:tcW w:w="4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320" w:type="dxa"/>
            <w:vAlign w:val="bottom"/>
            <w:gridSpan w:val="3"/>
          </w:tcPr>
          <w:p>
            <w:pPr>
              <w:jc w:val="center"/>
              <w:ind w:right="1400"/>
              <w:spacing w:after="0"/>
              <w:rPr>
                <w:sz w:val="20"/>
                <w:szCs w:val="20"/>
                <w:color w:val="auto"/>
              </w:rPr>
            </w:pPr>
            <w:r>
              <w:rPr>
                <w:rFonts w:ascii="Arial" w:cs="Arial" w:eastAsia="Arial" w:hAnsi="Arial"/>
                <w:sz w:val="36"/>
                <w:szCs w:val="36"/>
                <w:b w:val="1"/>
                <w:bCs w:val="1"/>
                <w:color w:val="auto"/>
                <w:w w:val="90"/>
              </w:rPr>
              <w:t>Ouster, Inc.</w:t>
            </w:r>
          </w:p>
        </w:tc>
        <w:tc>
          <w:tcPr>
            <w:tcW w:w="3260" w:type="dxa"/>
            <w:vAlign w:val="bottom"/>
          </w:tcPr>
          <w:p>
            <w:pPr>
              <w:spacing w:after="0"/>
              <w:rPr>
                <w:sz w:val="24"/>
                <w:szCs w:val="24"/>
                <w:color w:val="auto"/>
              </w:rPr>
            </w:pPr>
          </w:p>
        </w:tc>
      </w:tr>
      <w:tr>
        <w:trPr>
          <w:trHeight w:val="195"/>
        </w:trPr>
        <w:tc>
          <w:tcPr>
            <w:tcW w:w="7980" w:type="dxa"/>
            <w:vAlign w:val="bottom"/>
            <w:gridSpan w:val="6"/>
          </w:tcPr>
          <w:p>
            <w:pPr>
              <w:jc w:val="center"/>
              <w:ind w:left="3193"/>
              <w:spacing w:after="0"/>
              <w:rPr>
                <w:sz w:val="20"/>
                <w:szCs w:val="20"/>
                <w:color w:val="auto"/>
              </w:rPr>
            </w:pPr>
            <w:r>
              <w:rPr>
                <w:rFonts w:ascii="Arial" w:cs="Arial" w:eastAsia="Arial" w:hAnsi="Arial"/>
                <w:sz w:val="16"/>
                <w:szCs w:val="16"/>
                <w:b w:val="1"/>
                <w:bCs w:val="1"/>
                <w:color w:val="auto"/>
                <w:w w:val="90"/>
              </w:rPr>
              <w:t>(Exact name of registrant as specified in its charter)</w:t>
            </w:r>
          </w:p>
        </w:tc>
        <w:tc>
          <w:tcPr>
            <w:tcW w:w="3260" w:type="dxa"/>
            <w:vAlign w:val="bottom"/>
          </w:tcPr>
          <w:p>
            <w:pPr>
              <w:spacing w:after="0"/>
              <w:rPr>
                <w:sz w:val="16"/>
                <w:szCs w:val="16"/>
                <w:color w:val="auto"/>
              </w:rPr>
            </w:pPr>
          </w:p>
        </w:tc>
      </w:tr>
      <w:tr>
        <w:trPr>
          <w:trHeight w:val="274"/>
        </w:trPr>
        <w:tc>
          <w:tcPr>
            <w:tcW w:w="4180" w:type="dxa"/>
            <w:vAlign w:val="bottom"/>
          </w:tcPr>
          <w:p>
            <w:pPr>
              <w:spacing w:after="0"/>
              <w:rPr>
                <w:sz w:val="23"/>
                <w:szCs w:val="23"/>
                <w:color w:val="auto"/>
              </w:rPr>
            </w:pPr>
          </w:p>
        </w:tc>
        <w:tc>
          <w:tcPr>
            <w:tcW w:w="3160" w:type="dxa"/>
            <w:vAlign w:val="bottom"/>
            <w:gridSpan w:val="3"/>
          </w:tcPr>
          <w:p>
            <w:pPr>
              <w:jc w:val="center"/>
              <w:ind w:right="182"/>
              <w:spacing w:after="0"/>
              <w:rPr>
                <w:sz w:val="20"/>
                <w:szCs w:val="20"/>
                <w:color w:val="auto"/>
              </w:rPr>
            </w:pPr>
            <w:r>
              <w:rPr>
                <w:rFonts w:ascii="Arial" w:cs="Arial" w:eastAsia="Arial" w:hAnsi="Arial"/>
                <w:sz w:val="22"/>
                <w:szCs w:val="22"/>
                <w:color w:val="auto"/>
                <w:w w:val="88"/>
              </w:rPr>
              <w:t>_______________________</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260" w:type="dxa"/>
            <w:vAlign w:val="bottom"/>
          </w:tcPr>
          <w:p>
            <w:pPr>
              <w:spacing w:after="0"/>
              <w:rPr>
                <w:sz w:val="23"/>
                <w:szCs w:val="23"/>
                <w:color w:val="auto"/>
              </w:rPr>
            </w:pPr>
          </w:p>
        </w:tc>
      </w:tr>
      <w:tr>
        <w:trPr>
          <w:trHeight w:val="395"/>
        </w:trPr>
        <w:tc>
          <w:tcPr>
            <w:tcW w:w="4180" w:type="dxa"/>
            <w:vAlign w:val="bottom"/>
          </w:tcPr>
          <w:p>
            <w:pPr>
              <w:jc w:val="center"/>
              <w:ind w:right="393"/>
              <w:spacing w:after="0"/>
              <w:rPr>
                <w:sz w:val="20"/>
                <w:szCs w:val="20"/>
                <w:color w:val="auto"/>
              </w:rPr>
            </w:pPr>
            <w:r>
              <w:rPr>
                <w:rFonts w:ascii="Arial" w:cs="Arial" w:eastAsia="Arial" w:hAnsi="Arial"/>
                <w:sz w:val="18"/>
                <w:szCs w:val="18"/>
                <w:b w:val="1"/>
                <w:bCs w:val="1"/>
                <w:color w:val="auto"/>
                <w:w w:val="93"/>
              </w:rPr>
              <w:t>Delaware</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60" w:type="dxa"/>
            <w:vAlign w:val="bottom"/>
          </w:tcPr>
          <w:p>
            <w:pPr>
              <w:jc w:val="center"/>
              <w:ind w:right="375"/>
              <w:spacing w:after="0"/>
              <w:rPr>
                <w:sz w:val="20"/>
                <w:szCs w:val="20"/>
                <w:color w:val="auto"/>
              </w:rPr>
            </w:pPr>
            <w:r>
              <w:rPr>
                <w:rFonts w:ascii="Arial" w:cs="Arial" w:eastAsia="Arial" w:hAnsi="Arial"/>
                <w:sz w:val="18"/>
                <w:szCs w:val="18"/>
                <w:b w:val="1"/>
                <w:bCs w:val="1"/>
                <w:color w:val="auto"/>
                <w:w w:val="91"/>
              </w:rPr>
              <w:t>86-2528989</w:t>
            </w:r>
          </w:p>
        </w:tc>
      </w:tr>
      <w:tr>
        <w:trPr>
          <w:trHeight w:val="252"/>
        </w:trPr>
        <w:tc>
          <w:tcPr>
            <w:tcW w:w="4180" w:type="dxa"/>
            <w:vAlign w:val="bottom"/>
          </w:tcPr>
          <w:p>
            <w:pPr>
              <w:jc w:val="center"/>
              <w:ind w:right="393"/>
              <w:spacing w:after="0"/>
              <w:rPr>
                <w:sz w:val="20"/>
                <w:szCs w:val="20"/>
                <w:color w:val="auto"/>
              </w:rPr>
            </w:pPr>
            <w:r>
              <w:rPr>
                <w:rFonts w:ascii="Arial" w:cs="Arial" w:eastAsia="Arial" w:hAnsi="Arial"/>
                <w:sz w:val="18"/>
                <w:szCs w:val="18"/>
                <w:b w:val="1"/>
                <w:bCs w:val="1"/>
                <w:color w:val="auto"/>
                <w:w w:val="91"/>
              </w:rPr>
              <w:t>(State or other jurisdiction</w:t>
            </w: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60" w:type="dxa"/>
            <w:vAlign w:val="bottom"/>
          </w:tcPr>
          <w:p>
            <w:pPr>
              <w:jc w:val="center"/>
              <w:ind w:right="355"/>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4180" w:type="dxa"/>
            <w:vAlign w:val="bottom"/>
          </w:tcPr>
          <w:p>
            <w:pPr>
              <w:jc w:val="center"/>
              <w:ind w:right="393"/>
              <w:spacing w:after="0"/>
              <w:rPr>
                <w:sz w:val="20"/>
                <w:szCs w:val="20"/>
                <w:color w:val="auto"/>
              </w:rPr>
            </w:pPr>
            <w:r>
              <w:rPr>
                <w:rFonts w:ascii="Arial" w:cs="Arial" w:eastAsia="Arial" w:hAnsi="Arial"/>
                <w:sz w:val="18"/>
                <w:szCs w:val="18"/>
                <w:b w:val="1"/>
                <w:bCs w:val="1"/>
                <w:color w:val="auto"/>
                <w:w w:val="90"/>
              </w:rPr>
              <w:t>of incorporation)</w:t>
            </w: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60" w:type="dxa"/>
            <w:vAlign w:val="bottom"/>
          </w:tcPr>
          <w:p>
            <w:pPr>
              <w:jc w:val="center"/>
              <w:ind w:right="375"/>
              <w:spacing w:after="0"/>
              <w:rPr>
                <w:sz w:val="20"/>
                <w:szCs w:val="20"/>
                <w:color w:val="auto"/>
              </w:rPr>
            </w:pPr>
            <w:r>
              <w:rPr>
                <w:rFonts w:ascii="Arial" w:cs="Arial" w:eastAsia="Arial" w:hAnsi="Arial"/>
                <w:sz w:val="18"/>
                <w:szCs w:val="18"/>
                <w:b w:val="1"/>
                <w:bCs w:val="1"/>
                <w:color w:val="auto"/>
                <w:w w:val="92"/>
              </w:rPr>
              <w:t>Identification No.)</w:t>
            </w:r>
          </w:p>
        </w:tc>
      </w:tr>
      <w:tr>
        <w:trPr>
          <w:trHeight w:val="319"/>
        </w:trPr>
        <w:tc>
          <w:tcPr>
            <w:tcW w:w="4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320" w:type="dxa"/>
            <w:vAlign w:val="bottom"/>
            <w:gridSpan w:val="3"/>
          </w:tcPr>
          <w:p>
            <w:pPr>
              <w:jc w:val="center"/>
              <w:ind w:right="1380"/>
              <w:spacing w:after="0"/>
              <w:rPr>
                <w:sz w:val="20"/>
                <w:szCs w:val="20"/>
                <w:color w:val="auto"/>
              </w:rPr>
            </w:pPr>
            <w:r>
              <w:rPr>
                <w:rFonts w:ascii="Arial" w:cs="Arial" w:eastAsia="Arial" w:hAnsi="Arial"/>
                <w:sz w:val="18"/>
                <w:szCs w:val="18"/>
                <w:b w:val="1"/>
                <w:bCs w:val="1"/>
                <w:color w:val="auto"/>
                <w:w w:val="89"/>
              </w:rPr>
              <w:t>350 Treat Avenue</w:t>
            </w:r>
          </w:p>
        </w:tc>
        <w:tc>
          <w:tcPr>
            <w:tcW w:w="3260" w:type="dxa"/>
            <w:vAlign w:val="bottom"/>
          </w:tcPr>
          <w:p>
            <w:pPr>
              <w:spacing w:after="0"/>
              <w:rPr>
                <w:sz w:val="24"/>
                <w:szCs w:val="24"/>
                <w:color w:val="auto"/>
              </w:rPr>
            </w:pPr>
          </w:p>
        </w:tc>
      </w:tr>
      <w:tr>
        <w:trPr>
          <w:trHeight w:val="216"/>
        </w:trPr>
        <w:tc>
          <w:tcPr>
            <w:tcW w:w="4180" w:type="dxa"/>
            <w:vAlign w:val="bottom"/>
          </w:tcPr>
          <w:p>
            <w:pPr>
              <w:spacing w:after="0"/>
              <w:rPr>
                <w:sz w:val="18"/>
                <w:szCs w:val="18"/>
                <w:color w:val="auto"/>
              </w:rPr>
            </w:pPr>
          </w:p>
        </w:tc>
        <w:tc>
          <w:tcPr>
            <w:tcW w:w="3800" w:type="dxa"/>
            <w:vAlign w:val="bottom"/>
            <w:gridSpan w:val="5"/>
          </w:tcPr>
          <w:p>
            <w:pPr>
              <w:jc w:val="center"/>
              <w:ind w:right="920"/>
              <w:spacing w:after="0"/>
              <w:rPr>
                <w:sz w:val="20"/>
                <w:szCs w:val="20"/>
                <w:color w:val="auto"/>
              </w:rPr>
            </w:pPr>
            <w:r>
              <w:rPr>
                <w:rFonts w:ascii="Arial" w:cs="Arial" w:eastAsia="Arial" w:hAnsi="Arial"/>
                <w:sz w:val="18"/>
                <w:szCs w:val="18"/>
                <w:b w:val="1"/>
                <w:bCs w:val="1"/>
                <w:color w:val="auto"/>
                <w:w w:val="89"/>
              </w:rPr>
              <w:t>San Francisco, California 94110</w:t>
            </w:r>
          </w:p>
        </w:tc>
        <w:tc>
          <w:tcPr>
            <w:tcW w:w="3260" w:type="dxa"/>
            <w:vAlign w:val="bottom"/>
          </w:tcPr>
          <w:p>
            <w:pPr>
              <w:spacing w:after="0"/>
              <w:rPr>
                <w:sz w:val="18"/>
                <w:szCs w:val="18"/>
                <w:color w:val="auto"/>
              </w:rPr>
            </w:pPr>
          </w:p>
        </w:tc>
      </w:tr>
      <w:tr>
        <w:trPr>
          <w:trHeight w:val="216"/>
        </w:trPr>
        <w:tc>
          <w:tcPr>
            <w:tcW w:w="7980" w:type="dxa"/>
            <w:vAlign w:val="bottom"/>
            <w:gridSpan w:val="6"/>
          </w:tcPr>
          <w:p>
            <w:pPr>
              <w:jc w:val="center"/>
              <w:ind w:left="3193"/>
              <w:spacing w:after="0"/>
              <w:rPr>
                <w:sz w:val="20"/>
                <w:szCs w:val="20"/>
                <w:color w:val="auto"/>
              </w:rPr>
            </w:pPr>
            <w:r>
              <w:rPr>
                <w:rFonts w:ascii="Arial" w:cs="Arial" w:eastAsia="Arial" w:hAnsi="Arial"/>
                <w:sz w:val="18"/>
                <w:szCs w:val="18"/>
                <w:b w:val="1"/>
                <w:bCs w:val="1"/>
                <w:color w:val="auto"/>
                <w:w w:val="89"/>
              </w:rPr>
              <w:t>(Address of principal executive offices) (Zip Code)</w:t>
            </w:r>
          </w:p>
        </w:tc>
        <w:tc>
          <w:tcPr>
            <w:tcW w:w="3260" w:type="dxa"/>
            <w:vAlign w:val="bottom"/>
          </w:tcPr>
          <w:p>
            <w:pPr>
              <w:spacing w:after="0"/>
              <w:rPr>
                <w:sz w:val="18"/>
                <w:szCs w:val="18"/>
                <w:color w:val="auto"/>
              </w:rPr>
            </w:pPr>
          </w:p>
        </w:tc>
      </w:tr>
      <w:tr>
        <w:trPr>
          <w:trHeight w:val="216"/>
        </w:trPr>
        <w:tc>
          <w:tcPr>
            <w:tcW w:w="4180" w:type="dxa"/>
            <w:vAlign w:val="bottom"/>
          </w:tcPr>
          <w:p>
            <w:pPr>
              <w:spacing w:after="0"/>
              <w:rPr>
                <w:sz w:val="18"/>
                <w:szCs w:val="18"/>
                <w:color w:val="auto"/>
              </w:rPr>
            </w:pPr>
          </w:p>
        </w:tc>
        <w:tc>
          <w:tcPr>
            <w:tcW w:w="3160" w:type="dxa"/>
            <w:vAlign w:val="bottom"/>
            <w:gridSpan w:val="3"/>
          </w:tcPr>
          <w:p>
            <w:pPr>
              <w:jc w:val="center"/>
              <w:ind w:right="182"/>
              <w:spacing w:after="0"/>
              <w:rPr>
                <w:sz w:val="20"/>
                <w:szCs w:val="20"/>
                <w:color w:val="auto"/>
              </w:rPr>
            </w:pPr>
            <w:r>
              <w:rPr>
                <w:rFonts w:ascii="Arial" w:cs="Arial" w:eastAsia="Arial" w:hAnsi="Arial"/>
                <w:sz w:val="18"/>
                <w:szCs w:val="18"/>
                <w:b w:val="1"/>
                <w:bCs w:val="1"/>
                <w:color w:val="auto"/>
                <w:w w:val="90"/>
              </w:rPr>
              <w:t>(415) 949-0108</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60" w:type="dxa"/>
            <w:vAlign w:val="bottom"/>
          </w:tcPr>
          <w:p>
            <w:pPr>
              <w:spacing w:after="0"/>
              <w:rPr>
                <w:sz w:val="18"/>
                <w:szCs w:val="18"/>
                <w:color w:val="auto"/>
              </w:rPr>
            </w:pPr>
          </w:p>
        </w:tc>
      </w:tr>
      <w:tr>
        <w:trPr>
          <w:trHeight w:val="234"/>
        </w:trPr>
        <w:tc>
          <w:tcPr>
            <w:tcW w:w="7980" w:type="dxa"/>
            <w:vAlign w:val="bottom"/>
            <w:gridSpan w:val="6"/>
          </w:tcPr>
          <w:p>
            <w:pPr>
              <w:jc w:val="center"/>
              <w:ind w:left="3193"/>
              <w:spacing w:after="0"/>
              <w:rPr>
                <w:sz w:val="20"/>
                <w:szCs w:val="20"/>
                <w:color w:val="auto"/>
              </w:rPr>
            </w:pPr>
            <w:r>
              <w:rPr>
                <w:rFonts w:ascii="Arial" w:cs="Arial" w:eastAsia="Arial" w:hAnsi="Arial"/>
                <w:sz w:val="18"/>
                <w:szCs w:val="18"/>
                <w:b w:val="1"/>
                <w:bCs w:val="1"/>
                <w:color w:val="auto"/>
                <w:w w:val="89"/>
              </w:rPr>
              <w:t>(Registrant’s telephone number, including area code)</w:t>
            </w:r>
          </w:p>
        </w:tc>
        <w:tc>
          <w:tcPr>
            <w:tcW w:w="3260" w:type="dxa"/>
            <w:vAlign w:val="bottom"/>
          </w:tcPr>
          <w:p>
            <w:pPr>
              <w:spacing w:after="0"/>
              <w:rPr>
                <w:sz w:val="20"/>
                <w:szCs w:val="20"/>
                <w:color w:val="auto"/>
              </w:rPr>
            </w:pPr>
          </w:p>
        </w:tc>
      </w:tr>
      <w:tr>
        <w:trPr>
          <w:trHeight w:val="346"/>
        </w:trPr>
        <w:tc>
          <w:tcPr>
            <w:tcW w:w="4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320" w:type="dxa"/>
            <w:vAlign w:val="bottom"/>
            <w:gridSpan w:val="3"/>
          </w:tcPr>
          <w:p>
            <w:pPr>
              <w:jc w:val="center"/>
              <w:ind w:right="1400"/>
              <w:spacing w:after="0"/>
              <w:rPr>
                <w:sz w:val="20"/>
                <w:szCs w:val="20"/>
                <w:color w:val="auto"/>
              </w:rPr>
            </w:pPr>
            <w:r>
              <w:rPr>
                <w:rFonts w:ascii="Arial" w:cs="Arial" w:eastAsia="Arial" w:hAnsi="Arial"/>
                <w:sz w:val="18"/>
                <w:szCs w:val="18"/>
                <w:b w:val="1"/>
                <w:bCs w:val="1"/>
                <w:color w:val="auto"/>
              </w:rPr>
              <w:t>N/A</w:t>
            </w:r>
          </w:p>
        </w:tc>
        <w:tc>
          <w:tcPr>
            <w:tcW w:w="3260" w:type="dxa"/>
            <w:vAlign w:val="bottom"/>
          </w:tcPr>
          <w:p>
            <w:pPr>
              <w:spacing w:after="0"/>
              <w:rPr>
                <w:sz w:val="24"/>
                <w:szCs w:val="24"/>
                <w:color w:val="auto"/>
              </w:rPr>
            </w:pPr>
          </w:p>
        </w:tc>
      </w:tr>
      <w:tr>
        <w:trPr>
          <w:trHeight w:val="226"/>
        </w:trPr>
        <w:tc>
          <w:tcPr>
            <w:tcW w:w="11240" w:type="dxa"/>
            <w:vAlign w:val="bottom"/>
            <w:gridSpan w:val="7"/>
          </w:tcPr>
          <w:p>
            <w:pPr>
              <w:jc w:val="center"/>
              <w:spacing w:after="0"/>
              <w:rPr>
                <w:sz w:val="20"/>
                <w:szCs w:val="20"/>
                <w:color w:val="auto"/>
              </w:rPr>
            </w:pPr>
            <w:r>
              <w:rPr>
                <w:rFonts w:ascii="Arial" w:cs="Arial" w:eastAsia="Arial" w:hAnsi="Arial"/>
                <w:sz w:val="18"/>
                <w:szCs w:val="18"/>
                <w:b w:val="1"/>
                <w:bCs w:val="1"/>
                <w:color w:val="auto"/>
                <w:w w:val="89"/>
              </w:rPr>
              <w:t>(Former name, former address, and former fiscal year, if changed since last report)</w:t>
            </w:r>
          </w:p>
        </w:tc>
      </w:tr>
      <w:tr>
        <w:trPr>
          <w:trHeight w:val="274"/>
        </w:trPr>
        <w:tc>
          <w:tcPr>
            <w:tcW w:w="4180" w:type="dxa"/>
            <w:vAlign w:val="bottom"/>
          </w:tcPr>
          <w:p>
            <w:pPr>
              <w:spacing w:after="0"/>
              <w:rPr>
                <w:sz w:val="23"/>
                <w:szCs w:val="23"/>
                <w:color w:val="auto"/>
              </w:rPr>
            </w:pPr>
          </w:p>
        </w:tc>
        <w:tc>
          <w:tcPr>
            <w:tcW w:w="3160" w:type="dxa"/>
            <w:vAlign w:val="bottom"/>
            <w:gridSpan w:val="3"/>
          </w:tcPr>
          <w:p>
            <w:pPr>
              <w:jc w:val="center"/>
              <w:ind w:right="182"/>
              <w:spacing w:after="0"/>
              <w:rPr>
                <w:sz w:val="20"/>
                <w:szCs w:val="20"/>
                <w:color w:val="auto"/>
              </w:rPr>
            </w:pPr>
            <w:r>
              <w:rPr>
                <w:rFonts w:ascii="Arial" w:cs="Arial" w:eastAsia="Arial" w:hAnsi="Arial"/>
                <w:sz w:val="22"/>
                <w:szCs w:val="22"/>
                <w:color w:val="auto"/>
                <w:w w:val="88"/>
              </w:rPr>
              <w:t>_______________________</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260" w:type="dxa"/>
            <w:vAlign w:val="bottom"/>
          </w:tcPr>
          <w:p>
            <w:pPr>
              <w:spacing w:after="0"/>
              <w:rPr>
                <w:sz w:val="23"/>
                <w:szCs w:val="23"/>
                <w:color w:val="auto"/>
              </w:rPr>
            </w:pPr>
          </w:p>
        </w:tc>
      </w:tr>
      <w:tr>
        <w:trPr>
          <w:trHeight w:val="318"/>
        </w:trPr>
        <w:tc>
          <w:tcPr>
            <w:tcW w:w="4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32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93"/>
              </w:rPr>
              <w:t>Trading</w:t>
            </w:r>
          </w:p>
        </w:tc>
        <w:tc>
          <w:tcPr>
            <w:tcW w:w="3260" w:type="dxa"/>
            <w:vAlign w:val="bottom"/>
          </w:tcPr>
          <w:p>
            <w:pPr>
              <w:jc w:val="center"/>
              <w:ind w:right="455"/>
              <w:spacing w:after="0"/>
              <w:rPr>
                <w:sz w:val="20"/>
                <w:szCs w:val="20"/>
                <w:color w:val="auto"/>
              </w:rPr>
            </w:pPr>
            <w:r>
              <w:rPr>
                <w:rFonts w:ascii="Arial" w:cs="Arial" w:eastAsia="Arial" w:hAnsi="Arial"/>
                <w:sz w:val="14"/>
                <w:szCs w:val="14"/>
                <w:b w:val="1"/>
                <w:bCs w:val="1"/>
                <w:color w:val="auto"/>
                <w:w w:val="90"/>
              </w:rPr>
              <w:t>Name of each exchange</w:t>
            </w:r>
          </w:p>
        </w:tc>
      </w:tr>
      <w:tr>
        <w:trPr>
          <w:trHeight w:val="219"/>
        </w:trPr>
        <w:tc>
          <w:tcPr>
            <w:tcW w:w="4180" w:type="dxa"/>
            <w:vAlign w:val="bottom"/>
            <w:tcBorders>
              <w:bottom w:val="single" w:sz="8" w:color="auto"/>
            </w:tcBorders>
          </w:tcPr>
          <w:p>
            <w:pPr>
              <w:jc w:val="center"/>
              <w:ind w:left="293"/>
              <w:spacing w:after="0"/>
              <w:rPr>
                <w:sz w:val="20"/>
                <w:szCs w:val="20"/>
                <w:color w:val="auto"/>
              </w:rPr>
            </w:pPr>
            <w:r>
              <w:rPr>
                <w:rFonts w:ascii="Arial" w:cs="Arial" w:eastAsia="Arial" w:hAnsi="Arial"/>
                <w:sz w:val="14"/>
                <w:szCs w:val="14"/>
                <w:b w:val="1"/>
                <w:bCs w:val="1"/>
                <w:color w:val="auto"/>
                <w:w w:val="89"/>
              </w:rPr>
              <w:t>Title of each class</w:t>
            </w:r>
          </w:p>
        </w:tc>
        <w:tc>
          <w:tcPr>
            <w:tcW w:w="4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Symbol(s)</w:t>
            </w: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3260" w:type="dxa"/>
            <w:vAlign w:val="bottom"/>
            <w:tcBorders>
              <w:bottom w:val="single" w:sz="8" w:color="auto"/>
            </w:tcBorders>
          </w:tcPr>
          <w:p>
            <w:pPr>
              <w:jc w:val="center"/>
              <w:ind w:right="455"/>
              <w:spacing w:after="0"/>
              <w:rPr>
                <w:sz w:val="20"/>
                <w:szCs w:val="20"/>
                <w:color w:val="auto"/>
              </w:rPr>
            </w:pPr>
            <w:r>
              <w:rPr>
                <w:rFonts w:ascii="Arial" w:cs="Arial" w:eastAsia="Arial" w:hAnsi="Arial"/>
                <w:sz w:val="14"/>
                <w:szCs w:val="14"/>
                <w:b w:val="1"/>
                <w:bCs w:val="1"/>
                <w:color w:val="auto"/>
                <w:w w:val="90"/>
              </w:rPr>
              <w:t>on which registered</w:t>
            </w:r>
          </w:p>
        </w:tc>
      </w:tr>
      <w:tr>
        <w:trPr>
          <w:trHeight w:val="243"/>
        </w:trPr>
        <w:tc>
          <w:tcPr>
            <w:tcW w:w="4180" w:type="dxa"/>
            <w:vAlign w:val="bottom"/>
          </w:tcPr>
          <w:p>
            <w:pPr>
              <w:jc w:val="center"/>
              <w:ind w:left="313"/>
              <w:spacing w:after="0"/>
              <w:rPr>
                <w:sz w:val="20"/>
                <w:szCs w:val="20"/>
                <w:color w:val="auto"/>
              </w:rPr>
            </w:pPr>
            <w:r>
              <w:rPr>
                <w:rFonts w:ascii="Arial" w:cs="Arial" w:eastAsia="Arial" w:hAnsi="Arial"/>
                <w:sz w:val="18"/>
                <w:szCs w:val="18"/>
                <w:b w:val="1"/>
                <w:bCs w:val="1"/>
                <w:color w:val="auto"/>
                <w:w w:val="90"/>
              </w:rPr>
              <w:t>Common stock, $0.0001 par value per share</w:t>
            </w: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20" w:type="dxa"/>
            <w:vAlign w:val="bottom"/>
            <w:gridSpan w:val="3"/>
          </w:tcPr>
          <w:p>
            <w:pPr>
              <w:jc w:val="center"/>
              <w:ind w:right="640"/>
              <w:spacing w:after="0"/>
              <w:rPr>
                <w:sz w:val="20"/>
                <w:szCs w:val="20"/>
                <w:color w:val="auto"/>
              </w:rPr>
            </w:pPr>
            <w:r>
              <w:rPr>
                <w:rFonts w:ascii="Arial" w:cs="Arial" w:eastAsia="Arial" w:hAnsi="Arial"/>
                <w:sz w:val="18"/>
                <w:szCs w:val="18"/>
                <w:b w:val="1"/>
                <w:bCs w:val="1"/>
                <w:color w:val="auto"/>
                <w:w w:val="95"/>
              </w:rPr>
              <w:t>OUST</w:t>
            </w:r>
          </w:p>
        </w:tc>
        <w:tc>
          <w:tcPr>
            <w:tcW w:w="3260" w:type="dxa"/>
            <w:vAlign w:val="bottom"/>
          </w:tcPr>
          <w:p>
            <w:pPr>
              <w:jc w:val="center"/>
              <w:ind w:right="455"/>
              <w:spacing w:after="0"/>
              <w:rPr>
                <w:sz w:val="20"/>
                <w:szCs w:val="20"/>
                <w:color w:val="auto"/>
              </w:rPr>
            </w:pPr>
            <w:r>
              <w:rPr>
                <w:rFonts w:ascii="Arial" w:cs="Arial" w:eastAsia="Arial" w:hAnsi="Arial"/>
                <w:sz w:val="18"/>
                <w:szCs w:val="18"/>
                <w:b w:val="1"/>
                <w:bCs w:val="1"/>
                <w:color w:val="auto"/>
                <w:w w:val="90"/>
              </w:rPr>
              <w:t>New York Stock Exchange</w:t>
            </w:r>
          </w:p>
        </w:tc>
      </w:tr>
      <w:tr>
        <w:trPr>
          <w:trHeight w:val="270"/>
        </w:trPr>
        <w:tc>
          <w:tcPr>
            <w:tcW w:w="4180" w:type="dxa"/>
            <w:vAlign w:val="bottom"/>
          </w:tcPr>
          <w:p>
            <w:pPr>
              <w:jc w:val="center"/>
              <w:ind w:left="313"/>
              <w:spacing w:after="0"/>
              <w:rPr>
                <w:sz w:val="20"/>
                <w:szCs w:val="20"/>
                <w:color w:val="auto"/>
              </w:rPr>
            </w:pPr>
            <w:r>
              <w:rPr>
                <w:rFonts w:ascii="Arial" w:cs="Arial" w:eastAsia="Arial" w:hAnsi="Arial"/>
                <w:sz w:val="18"/>
                <w:szCs w:val="18"/>
                <w:b w:val="1"/>
                <w:bCs w:val="1"/>
                <w:color w:val="auto"/>
                <w:w w:val="88"/>
              </w:rPr>
              <w:t>Warrants to purchase common stock</w:t>
            </w: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320" w:type="dxa"/>
            <w:vAlign w:val="bottom"/>
            <w:gridSpan w:val="3"/>
          </w:tcPr>
          <w:p>
            <w:pPr>
              <w:jc w:val="center"/>
              <w:ind w:right="640"/>
              <w:spacing w:after="0"/>
              <w:rPr>
                <w:sz w:val="20"/>
                <w:szCs w:val="20"/>
                <w:color w:val="auto"/>
              </w:rPr>
            </w:pPr>
            <w:r>
              <w:rPr>
                <w:rFonts w:ascii="Arial" w:cs="Arial" w:eastAsia="Arial" w:hAnsi="Arial"/>
                <w:sz w:val="18"/>
                <w:szCs w:val="18"/>
                <w:b w:val="1"/>
                <w:bCs w:val="1"/>
                <w:color w:val="auto"/>
                <w:w w:val="95"/>
              </w:rPr>
              <w:t>OUST WS</w:t>
            </w:r>
          </w:p>
        </w:tc>
        <w:tc>
          <w:tcPr>
            <w:tcW w:w="3260" w:type="dxa"/>
            <w:vAlign w:val="bottom"/>
          </w:tcPr>
          <w:p>
            <w:pPr>
              <w:jc w:val="center"/>
              <w:ind w:right="455"/>
              <w:spacing w:after="0"/>
              <w:rPr>
                <w:sz w:val="20"/>
                <w:szCs w:val="20"/>
                <w:color w:val="auto"/>
              </w:rPr>
            </w:pPr>
            <w:r>
              <w:rPr>
                <w:rFonts w:ascii="Arial" w:cs="Arial" w:eastAsia="Arial" w:hAnsi="Arial"/>
                <w:sz w:val="18"/>
                <w:szCs w:val="18"/>
                <w:b w:val="1"/>
                <w:bCs w:val="1"/>
                <w:color w:val="auto"/>
                <w:w w:val="90"/>
              </w:rPr>
              <w:t>New York Stock Exchange</w:t>
            </w:r>
          </w:p>
        </w:tc>
      </w:tr>
    </w:tbl>
    <w:p>
      <w:pPr>
        <w:spacing w:after="0" w:line="256" w:lineRule="exact"/>
        <w:rPr>
          <w:sz w:val="24"/>
          <w:szCs w:val="24"/>
          <w:color w:val="auto"/>
        </w:rPr>
      </w:pPr>
    </w:p>
    <w:p>
      <w:pPr>
        <w:ind w:right="300"/>
        <w:spacing w:after="0" w:line="287"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spacing w:after="0" w:line="207" w:lineRule="exact"/>
        <w:tabs>
          <w:tab w:leader="none" w:pos="4580" w:val="left"/>
          <w:tab w:leader="none" w:pos="5280" w:val="left"/>
        </w:tabs>
        <w:rPr>
          <w:sz w:val="20"/>
          <w:szCs w:val="20"/>
          <w:color w:val="auto"/>
        </w:rPr>
      </w:pPr>
      <w:r>
        <w:rPr>
          <w:rFonts w:ascii="Arial" w:cs="Arial" w:eastAsia="Arial" w:hAnsi="Arial"/>
          <w:sz w:val="18"/>
          <w:szCs w:val="18"/>
          <w:color w:val="auto"/>
        </w:rPr>
        <w:t>requirements for the past 90 days.</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16" w:lineRule="exact"/>
        <w:rPr>
          <w:sz w:val="24"/>
          <w:szCs w:val="24"/>
          <w:color w:val="auto"/>
        </w:rPr>
      </w:pPr>
    </w:p>
    <w:p>
      <w:pPr>
        <w:ind w:right="120"/>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820"/>
        <w:spacing w:after="0" w:line="207" w:lineRule="exact"/>
        <w:tabs>
          <w:tab w:leader="none" w:pos="14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16" w:lineRule="exact"/>
        <w:rPr>
          <w:sz w:val="24"/>
          <w:szCs w:val="24"/>
          <w:color w:val="auto"/>
        </w:rPr>
      </w:pPr>
    </w:p>
    <w:p>
      <w:pPr>
        <w:ind w:right="3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0" w:lineRule="exact"/>
        <w:rPr>
          <w:sz w:val="24"/>
          <w:szCs w:val="24"/>
          <w:color w:val="auto"/>
        </w:rPr>
      </w:pPr>
    </w:p>
    <w:tbl>
      <w:tblPr>
        <w:tblLayout w:type="fixed"/>
        <w:tblInd w:w="960" w:type="dxa"/>
        <w:tblCellMar>
          <w:top w:w="0" w:type="dxa"/>
          <w:left w:w="0" w:type="dxa"/>
          <w:bottom w:w="0" w:type="dxa"/>
          <w:right w:w="0" w:type="dxa"/>
        </w:tblCellMar>
      </w:tblPr>
      <w:tr>
        <w:trPr>
          <w:trHeight w:val="230"/>
        </w:trPr>
        <w:tc>
          <w:tcPr>
            <w:tcW w:w="30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460" w:type="dxa"/>
            <w:vAlign w:val="bottom"/>
          </w:tcPr>
          <w:p>
            <w:pPr>
              <w:ind w:left="1060"/>
              <w:spacing w:after="0" w:line="181" w:lineRule="exact"/>
              <w:rPr>
                <w:sz w:val="20"/>
                <w:szCs w:val="20"/>
                <w:color w:val="auto"/>
              </w:rPr>
            </w:pPr>
            <w:r>
              <w:rPr>
                <w:rFonts w:ascii="MS PGothic" w:cs="MS PGothic" w:eastAsia="MS PGothic" w:hAnsi="MS PGothic"/>
                <w:sz w:val="18"/>
                <w:szCs w:val="18"/>
                <w:color w:val="auto"/>
              </w:rPr>
              <w:t>☐</w:t>
            </w:r>
          </w:p>
        </w:tc>
        <w:tc>
          <w:tcPr>
            <w:tcW w:w="3240" w:type="dxa"/>
            <w:vAlign w:val="bottom"/>
          </w:tcPr>
          <w:p>
            <w:pPr>
              <w:ind w:left="220"/>
              <w:spacing w:after="0"/>
              <w:rPr>
                <w:sz w:val="20"/>
                <w:szCs w:val="20"/>
                <w:color w:val="auto"/>
              </w:rPr>
            </w:pPr>
            <w:r>
              <w:rPr>
                <w:rFonts w:ascii="Arial" w:cs="Arial" w:eastAsia="Arial" w:hAnsi="Arial"/>
                <w:sz w:val="18"/>
                <w:szCs w:val="18"/>
                <w:color w:val="auto"/>
              </w:rPr>
              <w:t>Accelerated filer</w:t>
            </w:r>
          </w:p>
        </w:tc>
        <w:tc>
          <w:tcPr>
            <w:tcW w:w="1200" w:type="dxa"/>
            <w:vAlign w:val="bottom"/>
          </w:tcPr>
          <w:p>
            <w:pPr>
              <w:ind w:left="10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9"/>
        </w:trPr>
        <w:tc>
          <w:tcPr>
            <w:tcW w:w="3000" w:type="dxa"/>
            <w:vAlign w:val="bottom"/>
          </w:tcPr>
          <w:p>
            <w:pPr>
              <w:spacing w:after="0"/>
              <w:rPr>
                <w:sz w:val="20"/>
                <w:szCs w:val="20"/>
                <w:color w:val="auto"/>
              </w:rPr>
            </w:pPr>
            <w:r>
              <w:rPr>
                <w:rFonts w:ascii="Arial" w:cs="Arial" w:eastAsia="Arial" w:hAnsi="Arial"/>
                <w:sz w:val="18"/>
                <w:szCs w:val="18"/>
                <w:color w:val="auto"/>
              </w:rPr>
              <w:t>Non-accelerated filer</w:t>
            </w:r>
          </w:p>
        </w:tc>
        <w:tc>
          <w:tcPr>
            <w:tcW w:w="1460" w:type="dxa"/>
            <w:vAlign w:val="bottom"/>
          </w:tcPr>
          <w:p>
            <w:pPr>
              <w:ind w:left="1060"/>
              <w:spacing w:after="0" w:line="181" w:lineRule="exact"/>
              <w:rPr>
                <w:sz w:val="20"/>
                <w:szCs w:val="20"/>
                <w:color w:val="auto"/>
              </w:rPr>
            </w:pPr>
            <w:r>
              <w:rPr>
                <w:rFonts w:ascii="MS PGothic" w:cs="MS PGothic" w:eastAsia="MS PGothic" w:hAnsi="MS PGothic"/>
                <w:sz w:val="18"/>
                <w:szCs w:val="18"/>
                <w:color w:val="auto"/>
              </w:rPr>
              <w:t>☒</w:t>
            </w:r>
          </w:p>
        </w:tc>
        <w:tc>
          <w:tcPr>
            <w:tcW w:w="3240" w:type="dxa"/>
            <w:vAlign w:val="bottom"/>
          </w:tcPr>
          <w:p>
            <w:pPr>
              <w:ind w:left="220"/>
              <w:spacing w:after="0"/>
              <w:rPr>
                <w:sz w:val="20"/>
                <w:szCs w:val="20"/>
                <w:color w:val="auto"/>
              </w:rPr>
            </w:pPr>
            <w:r>
              <w:rPr>
                <w:rFonts w:ascii="Arial" w:cs="Arial" w:eastAsia="Arial" w:hAnsi="Arial"/>
                <w:sz w:val="18"/>
                <w:szCs w:val="18"/>
                <w:color w:val="auto"/>
              </w:rPr>
              <w:t>Smaller reporting company</w:t>
            </w:r>
          </w:p>
        </w:tc>
        <w:tc>
          <w:tcPr>
            <w:tcW w:w="1200" w:type="dxa"/>
            <w:vAlign w:val="bottom"/>
          </w:tcPr>
          <w:p>
            <w:pPr>
              <w:ind w:left="10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300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1460" w:type="dxa"/>
            <w:vAlign w:val="bottom"/>
          </w:tcPr>
          <w:p>
            <w:pPr>
              <w:ind w:left="1060"/>
              <w:spacing w:after="0" w:line="181" w:lineRule="exact"/>
              <w:rPr>
                <w:sz w:val="20"/>
                <w:szCs w:val="20"/>
                <w:color w:val="auto"/>
              </w:rPr>
            </w:pPr>
            <w:r>
              <w:rPr>
                <w:rFonts w:ascii="MS PGothic" w:cs="MS PGothic" w:eastAsia="MS PGothic" w:hAnsi="MS PGothic"/>
                <w:sz w:val="18"/>
                <w:szCs w:val="18"/>
                <w:color w:val="auto"/>
              </w:rPr>
              <w:t>☒</w:t>
            </w:r>
          </w:p>
        </w:tc>
        <w:tc>
          <w:tcPr>
            <w:tcW w:w="324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pacing w:after="0" w:line="209"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7" w:lineRule="exact"/>
        <w:rPr>
          <w:sz w:val="24"/>
          <w:szCs w:val="24"/>
          <w:color w:val="auto"/>
        </w:rPr>
      </w:pPr>
    </w:p>
    <w:p>
      <w:pPr>
        <w:spacing w:after="0" w:line="207" w:lineRule="exact"/>
        <w:tabs>
          <w:tab w:leader="none" w:pos="884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85" w:lineRule="exact"/>
        <w:rPr>
          <w:sz w:val="24"/>
          <w:szCs w:val="24"/>
          <w:color w:val="auto"/>
        </w:rPr>
      </w:pPr>
    </w:p>
    <w:p>
      <w:pPr>
        <w:spacing w:after="0"/>
        <w:rPr>
          <w:sz w:val="20"/>
          <w:szCs w:val="20"/>
          <w:color w:val="auto"/>
        </w:rPr>
      </w:pPr>
      <w:r>
        <w:rPr>
          <w:rFonts w:ascii="Arial" w:cs="Arial" w:eastAsia="Arial" w:hAnsi="Arial"/>
          <w:sz w:val="18"/>
          <w:szCs w:val="18"/>
          <w:color w:val="auto"/>
        </w:rPr>
        <w:t>As of August 6, 2021, the registrant had 161,343,284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95" w:right="339" w:bottom="484"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107315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52" w:right="1440"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60" w:type="dxa"/>
            <w:vAlign w:val="bottom"/>
            <w:gridSpan w:val="8"/>
          </w:tcPr>
          <w:p>
            <w:pPr>
              <w:ind w:left="1960"/>
              <w:spacing w:after="0"/>
              <w:rPr>
                <w:sz w:val="20"/>
                <w:szCs w:val="20"/>
                <w:color w:val="auto"/>
              </w:rPr>
            </w:pPr>
            <w:r>
              <w:rPr>
                <w:rFonts w:ascii="Arial" w:cs="Arial" w:eastAsia="Arial" w:hAnsi="Arial"/>
                <w:sz w:val="18"/>
                <w:szCs w:val="18"/>
                <w:b w:val="1"/>
                <w:bCs w:val="1"/>
                <w:color w:val="auto"/>
              </w:rPr>
              <w:t>TABLE OF CONTENTS</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2"/>
        </w:trPr>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60" w:type="dxa"/>
            <w:vAlign w:val="bottom"/>
            <w:gridSpan w:val="8"/>
            <w:vMerge w:val="restart"/>
          </w:tcPr>
          <w:p>
            <w:pPr>
              <w:ind w:left="1720"/>
              <w:spacing w:after="0"/>
              <w:rPr>
                <w:rFonts w:ascii="Arial" w:cs="Arial" w:eastAsia="Arial" w:hAnsi="Arial"/>
                <w:sz w:val="18"/>
                <w:szCs w:val="18"/>
                <w:b w:val="1"/>
                <w:bCs w:val="1"/>
                <w:color w:val="auto"/>
              </w:rPr>
            </w:pPr>
            <w:hyperlink w:anchor="page4">
              <w:r>
                <w:rPr>
                  <w:rFonts w:ascii="Arial" w:cs="Arial" w:eastAsia="Arial" w:hAnsi="Arial"/>
                  <w:sz w:val="18"/>
                  <w:szCs w:val="18"/>
                  <w:b w:val="1"/>
                  <w:bCs w:val="1"/>
                  <w:color w:val="auto"/>
                </w:rPr>
                <w:t>Part I - Financial Information</w:t>
              </w:r>
            </w:hyperlink>
          </w:p>
        </w:tc>
        <w:tc>
          <w:tcPr>
            <w:tcW w:w="860" w:type="dxa"/>
            <w:vAlign w:val="bottom"/>
          </w:tcPr>
          <w:p>
            <w:pPr>
              <w:jc w:val="right"/>
              <w:ind w:right="19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29"/>
        </w:trPr>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60" w:type="dxa"/>
            <w:vAlign w:val="bottom"/>
            <w:gridSpan w:val="8"/>
            <w:vMerge w:val="continue"/>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520" w:type="dxa"/>
            <w:vAlign w:val="bottom"/>
            <w:tcBorders>
              <w:bottom w:val="single" w:sz="8" w:color="0000FF"/>
            </w:tcBorders>
          </w:tcPr>
          <w:p>
            <w:pPr>
              <w:spacing w:after="0" w:line="190" w:lineRule="exact"/>
              <w:rPr>
                <w:rFonts w:ascii="Arial" w:cs="Arial" w:eastAsia="Arial" w:hAnsi="Arial"/>
                <w:sz w:val="18"/>
                <w:szCs w:val="18"/>
                <w:color w:val="0000FF"/>
                <w:w w:val="90"/>
              </w:rPr>
            </w:pPr>
            <w:hyperlink w:anchor="page5">
              <w:r>
                <w:rPr>
                  <w:rFonts w:ascii="Arial" w:cs="Arial" w:eastAsia="Arial" w:hAnsi="Arial"/>
                  <w:sz w:val="18"/>
                  <w:szCs w:val="18"/>
                  <w:color w:val="0000FF"/>
                  <w:w w:val="90"/>
                </w:rPr>
                <w:t>Item 1.</w:t>
              </w:r>
            </w:hyperlink>
          </w:p>
        </w:tc>
        <w:tc>
          <w:tcPr>
            <w:tcW w:w="400" w:type="dxa"/>
            <w:vAlign w:val="bottom"/>
          </w:tcPr>
          <w:p>
            <w:pPr>
              <w:spacing w:after="0"/>
              <w:rPr>
                <w:sz w:val="16"/>
                <w:szCs w:val="16"/>
                <w:color w:val="auto"/>
              </w:rPr>
            </w:pPr>
          </w:p>
        </w:tc>
        <w:tc>
          <w:tcPr>
            <w:tcW w:w="1500" w:type="dxa"/>
            <w:vAlign w:val="bottom"/>
            <w:tcBorders>
              <w:bottom w:val="single" w:sz="8" w:color="0000FF"/>
            </w:tcBorders>
            <w:gridSpan w:val="3"/>
          </w:tcPr>
          <w:p>
            <w:pPr>
              <w:spacing w:after="0" w:line="190" w:lineRule="exact"/>
              <w:rPr>
                <w:rFonts w:ascii="Arial" w:cs="Arial" w:eastAsia="Arial" w:hAnsi="Arial"/>
                <w:sz w:val="18"/>
                <w:szCs w:val="18"/>
                <w:color w:val="0000FF"/>
                <w:w w:val="88"/>
              </w:rPr>
            </w:pPr>
            <w:hyperlink w:anchor="page5">
              <w:r>
                <w:rPr>
                  <w:rFonts w:ascii="Arial" w:cs="Arial" w:eastAsia="Arial" w:hAnsi="Arial"/>
                  <w:sz w:val="18"/>
                  <w:szCs w:val="18"/>
                  <w:color w:val="0000FF"/>
                  <w:w w:val="88"/>
                </w:rPr>
                <w:t>Financial Statements</w:t>
              </w:r>
            </w:hyperlink>
          </w:p>
        </w:tc>
        <w:tc>
          <w:tcPr>
            <w:tcW w:w="7920" w:type="dxa"/>
            <w:vAlign w:val="bottom"/>
            <w:gridSpan w:val="9"/>
          </w:tcPr>
          <w:p>
            <w:pPr>
              <w:spacing w:after="0"/>
              <w:rPr>
                <w:sz w:val="16"/>
                <w:szCs w:val="16"/>
                <w:color w:val="auto"/>
              </w:rPr>
            </w:pPr>
          </w:p>
        </w:tc>
        <w:tc>
          <w:tcPr>
            <w:tcW w:w="860" w:type="dxa"/>
            <w:vAlign w:val="bottom"/>
          </w:tcPr>
          <w:p>
            <w:pPr>
              <w:jc w:val="right"/>
              <w:spacing w:after="0" w:line="190" w:lineRule="exact"/>
              <w:rPr>
                <w:rFonts w:ascii="Arial" w:cs="Arial" w:eastAsia="Arial" w:hAnsi="Arial"/>
                <w:sz w:val="18"/>
                <w:szCs w:val="18"/>
                <w:color w:val="auto"/>
              </w:rPr>
            </w:pPr>
            <w:hyperlink w:anchor="page5">
              <w:r>
                <w:rPr>
                  <w:rFonts w:ascii="Arial" w:cs="Arial" w:eastAsia="Arial" w:hAnsi="Arial"/>
                  <w:sz w:val="18"/>
                  <w:szCs w:val="18"/>
                  <w:color w:val="auto"/>
                </w:rPr>
                <w:t>5</w:t>
              </w:r>
            </w:hyperlink>
          </w:p>
        </w:tc>
        <w:tc>
          <w:tcPr>
            <w:tcW w:w="0" w:type="dxa"/>
            <w:vAlign w:val="bottom"/>
          </w:tcPr>
          <w:p>
            <w:pPr>
              <w:spacing w:after="0"/>
              <w:rPr>
                <w:sz w:val="1"/>
                <w:szCs w:val="1"/>
                <w:color w:val="auto"/>
              </w:rPr>
            </w:pPr>
          </w:p>
        </w:tc>
      </w:tr>
      <w:tr>
        <w:trPr>
          <w:trHeight w:val="223"/>
        </w:trPr>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40" w:type="dxa"/>
            <w:vAlign w:val="bottom"/>
            <w:tcBorders>
              <w:bottom w:val="single" w:sz="8" w:color="0000FF"/>
            </w:tcBorders>
            <w:gridSpan w:val="5"/>
          </w:tcPr>
          <w:p>
            <w:pPr>
              <w:spacing w:after="0"/>
              <w:rPr>
                <w:rFonts w:ascii="Arial" w:cs="Arial" w:eastAsia="Arial" w:hAnsi="Arial"/>
                <w:sz w:val="18"/>
                <w:szCs w:val="18"/>
                <w:color w:val="0000FF"/>
                <w:w w:val="88"/>
              </w:rPr>
            </w:pPr>
            <w:hyperlink w:anchor="page5">
              <w:r>
                <w:rPr>
                  <w:rFonts w:ascii="Arial" w:cs="Arial" w:eastAsia="Arial" w:hAnsi="Arial"/>
                  <w:sz w:val="18"/>
                  <w:szCs w:val="18"/>
                  <w:color w:val="0000FF"/>
                  <w:w w:val="88"/>
                </w:rPr>
                <w:t>Condensed Consolidated Balance Sheets (Unaudited)</w:t>
              </w:r>
            </w:hyperlink>
          </w:p>
        </w:tc>
        <w:tc>
          <w:tcPr>
            <w:tcW w:w="5580" w:type="dxa"/>
            <w:vAlign w:val="bottom"/>
            <w:gridSpan w:val="7"/>
          </w:tcPr>
          <w:p>
            <w:pPr>
              <w:spacing w:after="0"/>
              <w:rPr>
                <w:sz w:val="19"/>
                <w:szCs w:val="19"/>
                <w:color w:val="auto"/>
              </w:rPr>
            </w:pPr>
          </w:p>
        </w:tc>
        <w:tc>
          <w:tcPr>
            <w:tcW w:w="86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5</w:t>
              </w:r>
            </w:hyperlink>
          </w:p>
        </w:tc>
        <w:tc>
          <w:tcPr>
            <w:tcW w:w="0" w:type="dxa"/>
            <w:vAlign w:val="bottom"/>
          </w:tcPr>
          <w:p>
            <w:pPr>
              <w:spacing w:after="0"/>
              <w:rPr>
                <w:sz w:val="1"/>
                <w:szCs w:val="1"/>
                <w:color w:val="auto"/>
              </w:rPr>
            </w:pPr>
          </w:p>
        </w:tc>
      </w:tr>
      <w:tr>
        <w:trPr>
          <w:trHeight w:val="250"/>
        </w:trPr>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20" w:type="dxa"/>
            <w:vAlign w:val="bottom"/>
            <w:gridSpan w:val="12"/>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Condensed Consolidated Statements of Operations and Comprehensive Loss (Unaudited)</w:t>
              </w:r>
            </w:hyperlink>
          </w:p>
        </w:tc>
        <w:tc>
          <w:tcPr>
            <w:tcW w:w="86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6</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5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0" w:type="dxa"/>
            <w:vAlign w:val="bottom"/>
            <w:tcBorders>
              <w:bottom w:val="single" w:sz="8" w:color="0000FF"/>
            </w:tcBorders>
            <w:gridSpan w:val="11"/>
          </w:tcPr>
          <w:p>
            <w:pPr>
              <w:spacing w:after="0"/>
              <w:rPr>
                <w:rFonts w:ascii="Arial" w:cs="Arial" w:eastAsia="Arial" w:hAnsi="Arial"/>
                <w:sz w:val="18"/>
                <w:szCs w:val="18"/>
                <w:color w:val="0000FF"/>
                <w:w w:val="90"/>
              </w:rPr>
            </w:pPr>
            <w:hyperlink w:anchor="page6">
              <w:r>
                <w:rPr>
                  <w:rFonts w:ascii="Arial" w:cs="Arial" w:eastAsia="Arial" w:hAnsi="Arial"/>
                  <w:sz w:val="18"/>
                  <w:szCs w:val="18"/>
                  <w:color w:val="0000FF"/>
                  <w:w w:val="90"/>
                </w:rPr>
                <w:t xml:space="preserve">Condensed Consolidated Statements of Changes in Redeemable Convertible Preferred Stock and Stockholders’ </w:t>
              </w:r>
            </w:hyperlink>
            <w:r>
              <w:rPr>
                <w:rFonts w:ascii="Arial" w:cs="Arial" w:eastAsia="Arial" w:hAnsi="Arial"/>
                <w:sz w:val="18"/>
                <w:szCs w:val="18"/>
                <w:color w:val="0000FF"/>
                <w:w w:val="90"/>
              </w:rPr>
              <w:t xml:space="preserve">Equity </w:t>
            </w:r>
            <w:hyperlink w:anchor="page6">
              <w:r>
                <w:rPr>
                  <w:rFonts w:ascii="Arial" w:cs="Arial" w:eastAsia="Arial" w:hAnsi="Arial"/>
                  <w:sz w:val="18"/>
                  <w:szCs w:val="18"/>
                  <w:color w:val="0000FF"/>
                  <w:w w:val="90"/>
                </w:rPr>
                <w:t>(Deficit)</w:t>
              </w:r>
            </w:hyperlink>
          </w:p>
        </w:tc>
        <w:tc>
          <w:tcPr>
            <w:tcW w:w="220" w:type="dxa"/>
            <w:vAlign w:val="bottom"/>
          </w:tcPr>
          <w:p>
            <w:pPr>
              <w:spacing w:after="0"/>
              <w:rPr>
                <w:sz w:val="21"/>
                <w:szCs w:val="21"/>
                <w:color w:val="auto"/>
              </w:rPr>
            </w:pPr>
          </w:p>
        </w:tc>
        <w:tc>
          <w:tcPr>
            <w:tcW w:w="860" w:type="dxa"/>
            <w:vAlign w:val="bottom"/>
            <w:vMerge w:val="restart"/>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7</w:t>
              </w:r>
            </w:hyperlink>
          </w:p>
        </w:tc>
        <w:tc>
          <w:tcPr>
            <w:tcW w:w="0" w:type="dxa"/>
            <w:vAlign w:val="bottom"/>
          </w:tcPr>
          <w:p>
            <w:pPr>
              <w:spacing w:after="0"/>
              <w:rPr>
                <w:sz w:val="1"/>
                <w:szCs w:val="1"/>
                <w:color w:val="auto"/>
              </w:rPr>
            </w:pPr>
          </w:p>
        </w:tc>
      </w:tr>
      <w:tr>
        <w:trPr>
          <w:trHeight w:val="129"/>
        </w:trPr>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vMerge w:val="restart"/>
          </w:tcPr>
          <w:p>
            <w:pPr>
              <w:spacing w:after="0" w:line="196" w:lineRule="exact"/>
              <w:rPr>
                <w:rFonts w:ascii="Arial" w:cs="Arial" w:eastAsia="Arial" w:hAnsi="Arial"/>
                <w:sz w:val="18"/>
                <w:szCs w:val="18"/>
                <w:color w:val="0000FF"/>
                <w:w w:val="91"/>
              </w:rPr>
            </w:pPr>
            <w:hyperlink w:anchor="page6">
              <w:r>
                <w:rPr>
                  <w:rFonts w:ascii="Arial" w:cs="Arial" w:eastAsia="Arial" w:hAnsi="Arial"/>
                  <w:sz w:val="18"/>
                  <w:szCs w:val="18"/>
                  <w:color w:val="0000FF"/>
                  <w:w w:val="91"/>
                </w:rPr>
                <w:t>(Unaudited)</w:t>
              </w:r>
            </w:hyperlink>
          </w:p>
        </w:tc>
        <w:tc>
          <w:tcPr>
            <w:tcW w:w="8340" w:type="dxa"/>
            <w:vAlign w:val="bottom"/>
            <w:gridSpan w:val="10"/>
            <w:vMerge w:val="restart"/>
          </w:tcPr>
          <w:p>
            <w:pPr>
              <w:spacing w:after="0"/>
              <w:rPr>
                <w:sz w:val="11"/>
                <w:szCs w:val="11"/>
                <w:color w:val="auto"/>
              </w:rPr>
            </w:pPr>
          </w:p>
        </w:tc>
        <w:tc>
          <w:tcPr>
            <w:tcW w:w="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5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80" w:type="dxa"/>
            <w:vAlign w:val="bottom"/>
            <w:tcBorders>
              <w:bottom w:val="single" w:sz="8" w:color="0000FF"/>
            </w:tcBorders>
            <w:vMerge w:val="continue"/>
          </w:tcPr>
          <w:p>
            <w:pPr>
              <w:spacing w:after="0"/>
              <w:rPr>
                <w:sz w:val="5"/>
                <w:szCs w:val="5"/>
                <w:color w:val="auto"/>
              </w:rPr>
            </w:pPr>
          </w:p>
        </w:tc>
        <w:tc>
          <w:tcPr>
            <w:tcW w:w="8340" w:type="dxa"/>
            <w:vAlign w:val="bottom"/>
            <w:gridSpan w:val="10"/>
            <w:vMerge w:val="continue"/>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620" w:type="dxa"/>
            <w:vAlign w:val="bottom"/>
            <w:tcBorders>
              <w:bottom w:val="single" w:sz="8" w:color="0000FF"/>
            </w:tcBorders>
            <w:gridSpan w:val="7"/>
          </w:tcPr>
          <w:p>
            <w:pPr>
              <w:spacing w:after="0"/>
              <w:rPr>
                <w:rFonts w:ascii="Arial" w:cs="Arial" w:eastAsia="Arial" w:hAnsi="Arial"/>
                <w:sz w:val="18"/>
                <w:szCs w:val="18"/>
                <w:color w:val="0000FF"/>
                <w:w w:val="89"/>
              </w:rPr>
            </w:pPr>
            <w:hyperlink w:anchor="page8">
              <w:r>
                <w:rPr>
                  <w:rFonts w:ascii="Arial" w:cs="Arial" w:eastAsia="Arial" w:hAnsi="Arial"/>
                  <w:sz w:val="18"/>
                  <w:szCs w:val="18"/>
                  <w:color w:val="0000FF"/>
                  <w:w w:val="89"/>
                </w:rPr>
                <w:t>Condensed Consolidated Statements of Cash Flows (Unaudited)</w:t>
              </w:r>
            </w:hyperlink>
          </w:p>
        </w:tc>
        <w:tc>
          <w:tcPr>
            <w:tcW w:w="4800" w:type="dxa"/>
            <w:vAlign w:val="bottom"/>
            <w:gridSpan w:val="5"/>
          </w:tcPr>
          <w:p>
            <w:pPr>
              <w:spacing w:after="0"/>
              <w:rPr>
                <w:sz w:val="21"/>
                <w:szCs w:val="21"/>
                <w:color w:val="auto"/>
              </w:rPr>
            </w:pPr>
          </w:p>
        </w:tc>
        <w:tc>
          <w:tcPr>
            <w:tcW w:w="860" w:type="dxa"/>
            <w:vAlign w:val="bottom"/>
          </w:tcPr>
          <w:p>
            <w:pPr>
              <w:jc w:val="right"/>
              <w:spacing w:after="0"/>
              <w:rPr>
                <w:rFonts w:ascii="Arial" w:cs="Arial" w:eastAsia="Arial" w:hAnsi="Arial"/>
                <w:sz w:val="18"/>
                <w:szCs w:val="18"/>
                <w:color w:val="auto"/>
              </w:rPr>
            </w:pPr>
            <w:hyperlink w:anchor="page8">
              <w:r>
                <w:rPr>
                  <w:rFonts w:ascii="Arial" w:cs="Arial" w:eastAsia="Arial" w:hAnsi="Arial"/>
                  <w:sz w:val="18"/>
                  <w:szCs w:val="18"/>
                  <w:color w:val="auto"/>
                </w:rPr>
                <w:t>9</w:t>
              </w:r>
            </w:hyperlink>
          </w:p>
        </w:tc>
        <w:tc>
          <w:tcPr>
            <w:tcW w:w="0" w:type="dxa"/>
            <w:vAlign w:val="bottom"/>
          </w:tcPr>
          <w:p>
            <w:pPr>
              <w:spacing w:after="0"/>
              <w:rPr>
                <w:sz w:val="1"/>
                <w:szCs w:val="1"/>
                <w:color w:val="auto"/>
              </w:rPr>
            </w:pPr>
          </w:p>
        </w:tc>
      </w:tr>
      <w:tr>
        <w:trPr>
          <w:trHeight w:val="250"/>
        </w:trPr>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900" w:type="dxa"/>
            <w:vAlign w:val="bottom"/>
            <w:tcBorders>
              <w:bottom w:val="single" w:sz="8" w:color="0000FF"/>
            </w:tcBorders>
            <w:gridSpan w:val="8"/>
          </w:tcPr>
          <w:p>
            <w:pPr>
              <w:spacing w:after="0"/>
              <w:rPr>
                <w:rFonts w:ascii="Arial" w:cs="Arial" w:eastAsia="Arial" w:hAnsi="Arial"/>
                <w:sz w:val="18"/>
                <w:szCs w:val="18"/>
                <w:color w:val="0000FF"/>
                <w:w w:val="89"/>
              </w:rPr>
            </w:pPr>
            <w:hyperlink w:anchor="page9">
              <w:r>
                <w:rPr>
                  <w:rFonts w:ascii="Arial" w:cs="Arial" w:eastAsia="Arial" w:hAnsi="Arial"/>
                  <w:sz w:val="18"/>
                  <w:szCs w:val="18"/>
                  <w:color w:val="0000FF"/>
                  <w:w w:val="89"/>
                </w:rPr>
                <w:t>Notes to Condensed Consolidated Financial Statements (Unaudited)</w:t>
              </w:r>
            </w:hyperlink>
          </w:p>
        </w:tc>
        <w:tc>
          <w:tcPr>
            <w:tcW w:w="4520" w:type="dxa"/>
            <w:vAlign w:val="bottom"/>
            <w:gridSpan w:val="4"/>
          </w:tcPr>
          <w:p>
            <w:pPr>
              <w:spacing w:after="0"/>
              <w:rPr>
                <w:sz w:val="21"/>
                <w:szCs w:val="21"/>
                <w:color w:val="auto"/>
              </w:rPr>
            </w:pPr>
          </w:p>
        </w:tc>
        <w:tc>
          <w:tcPr>
            <w:tcW w:w="860" w:type="dxa"/>
            <w:vAlign w:val="bottom"/>
          </w:tcPr>
          <w:p>
            <w:pPr>
              <w:jc w:val="right"/>
              <w:spacing w:after="0"/>
              <w:rPr>
                <w:rFonts w:ascii="Arial" w:cs="Arial" w:eastAsia="Arial" w:hAnsi="Arial"/>
                <w:sz w:val="18"/>
                <w:szCs w:val="18"/>
                <w:color w:val="auto"/>
              </w:rPr>
            </w:pPr>
            <w:hyperlink w:anchor="page9">
              <w:r>
                <w:rPr>
                  <w:rFonts w:ascii="Arial" w:cs="Arial" w:eastAsia="Arial" w:hAnsi="Arial"/>
                  <w:sz w:val="18"/>
                  <w:szCs w:val="18"/>
                  <w:color w:val="auto"/>
                </w:rPr>
                <w:t>10</w:t>
              </w:r>
            </w:hyperlink>
          </w:p>
        </w:tc>
        <w:tc>
          <w:tcPr>
            <w:tcW w:w="0" w:type="dxa"/>
            <w:vAlign w:val="bottom"/>
          </w:tcPr>
          <w:p>
            <w:pPr>
              <w:spacing w:after="0"/>
              <w:rPr>
                <w:sz w:val="1"/>
                <w:szCs w:val="1"/>
                <w:color w:val="auto"/>
              </w:rPr>
            </w:pPr>
          </w:p>
        </w:tc>
      </w:tr>
      <w:tr>
        <w:trPr>
          <w:trHeight w:val="250"/>
        </w:trPr>
        <w:tc>
          <w:tcPr>
            <w:tcW w:w="920" w:type="dxa"/>
            <w:vAlign w:val="bottom"/>
            <w:gridSpan w:val="2"/>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Item 2.</w:t>
              </w:r>
            </w:hyperlink>
          </w:p>
        </w:tc>
        <w:tc>
          <w:tcPr>
            <w:tcW w:w="9420" w:type="dxa"/>
            <w:vAlign w:val="bottom"/>
            <w:gridSpan w:val="12"/>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Management’s Discussion and Analysis of Financial Condition and Results of Operations</w:t>
              </w:r>
            </w:hyperlink>
          </w:p>
        </w:tc>
        <w:tc>
          <w:tcPr>
            <w:tcW w:w="860" w:type="dxa"/>
            <w:vAlign w:val="bottom"/>
          </w:tcPr>
          <w:p>
            <w:pPr>
              <w:jc w:val="right"/>
              <w:spacing w:after="0"/>
              <w:rPr>
                <w:rFonts w:ascii="Arial" w:cs="Arial" w:eastAsia="Arial" w:hAnsi="Arial"/>
                <w:sz w:val="18"/>
                <w:szCs w:val="18"/>
                <w:color w:val="auto"/>
              </w:rPr>
            </w:pPr>
            <w:hyperlink w:anchor="page27">
              <w:r>
                <w:rPr>
                  <w:rFonts w:ascii="Arial" w:cs="Arial" w:eastAsia="Arial" w:hAnsi="Arial"/>
                  <w:sz w:val="18"/>
                  <w:szCs w:val="18"/>
                  <w:color w:val="auto"/>
                </w:rPr>
                <w:t>28</w:t>
              </w:r>
            </w:hyperlink>
          </w:p>
        </w:tc>
        <w:tc>
          <w:tcPr>
            <w:tcW w:w="0" w:type="dxa"/>
            <w:vAlign w:val="bottom"/>
          </w:tcPr>
          <w:p>
            <w:pPr>
              <w:spacing w:after="0"/>
              <w:rPr>
                <w:sz w:val="1"/>
                <w:szCs w:val="1"/>
                <w:color w:val="auto"/>
              </w:rPr>
            </w:pPr>
          </w:p>
        </w:tc>
      </w:tr>
      <w:tr>
        <w:trPr>
          <w:trHeight w:val="250"/>
        </w:trPr>
        <w:tc>
          <w:tcPr>
            <w:tcW w:w="920" w:type="dxa"/>
            <w:vAlign w:val="bottom"/>
            <w:tcBorders>
              <w:top w:val="single" w:sz="8" w:color="0000FF"/>
            </w:tcBorders>
            <w:gridSpan w:val="2"/>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Item 3.</w:t>
              </w:r>
            </w:hyperlink>
          </w:p>
        </w:tc>
        <w:tc>
          <w:tcPr>
            <w:tcW w:w="6440" w:type="dxa"/>
            <w:vAlign w:val="bottom"/>
            <w:tcBorders>
              <w:top w:val="single" w:sz="8" w:color="0000FF"/>
            </w:tcBorders>
            <w:gridSpan w:val="10"/>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Quantitative and Qualitative Disclosures About Market Risk</w:t>
              </w:r>
            </w:hyperlink>
          </w:p>
        </w:tc>
        <w:tc>
          <w:tcPr>
            <w:tcW w:w="2980" w:type="dxa"/>
            <w:vAlign w:val="bottom"/>
            <w:gridSpan w:val="2"/>
          </w:tcPr>
          <w:p>
            <w:pPr>
              <w:spacing w:after="0"/>
              <w:rPr>
                <w:sz w:val="21"/>
                <w:szCs w:val="21"/>
                <w:color w:val="auto"/>
              </w:rPr>
            </w:pPr>
          </w:p>
        </w:tc>
        <w:tc>
          <w:tcPr>
            <w:tcW w:w="860" w:type="dxa"/>
            <w:vAlign w:val="bottom"/>
          </w:tcPr>
          <w:p>
            <w:pPr>
              <w:jc w:val="right"/>
              <w:spacing w:after="0"/>
              <w:rPr>
                <w:rFonts w:ascii="Arial" w:cs="Arial" w:eastAsia="Arial" w:hAnsi="Arial"/>
                <w:sz w:val="18"/>
                <w:szCs w:val="18"/>
                <w:color w:val="auto"/>
              </w:rPr>
            </w:pPr>
            <w:hyperlink w:anchor="page44">
              <w:r>
                <w:rPr>
                  <w:rFonts w:ascii="Arial" w:cs="Arial" w:eastAsia="Arial" w:hAnsi="Arial"/>
                  <w:sz w:val="18"/>
                  <w:szCs w:val="18"/>
                  <w:color w:val="auto"/>
                </w:rPr>
                <w:t>44</w:t>
              </w:r>
            </w:hyperlink>
          </w:p>
        </w:tc>
        <w:tc>
          <w:tcPr>
            <w:tcW w:w="0" w:type="dxa"/>
            <w:vAlign w:val="bottom"/>
          </w:tcPr>
          <w:p>
            <w:pPr>
              <w:spacing w:after="0"/>
              <w:rPr>
                <w:sz w:val="1"/>
                <w:szCs w:val="1"/>
                <w:color w:val="auto"/>
              </w:rPr>
            </w:pPr>
          </w:p>
        </w:tc>
      </w:tr>
      <w:tr>
        <w:trPr>
          <w:trHeight w:val="250"/>
        </w:trPr>
        <w:tc>
          <w:tcPr>
            <w:tcW w:w="520" w:type="dxa"/>
            <w:vAlign w:val="bottom"/>
            <w:tcBorders>
              <w:top w:val="single" w:sz="8" w:color="0000FF"/>
              <w:bottom w:val="single" w:sz="8" w:color="0000FF"/>
            </w:tcBorders>
          </w:tcPr>
          <w:p>
            <w:pPr>
              <w:spacing w:after="0"/>
              <w:rPr>
                <w:rFonts w:ascii="Arial" w:cs="Arial" w:eastAsia="Arial" w:hAnsi="Arial"/>
                <w:sz w:val="18"/>
                <w:szCs w:val="18"/>
                <w:color w:val="0000FF"/>
                <w:w w:val="90"/>
              </w:rPr>
            </w:pPr>
            <w:hyperlink w:anchor="page44">
              <w:r>
                <w:rPr>
                  <w:rFonts w:ascii="Arial" w:cs="Arial" w:eastAsia="Arial" w:hAnsi="Arial"/>
                  <w:sz w:val="18"/>
                  <w:szCs w:val="18"/>
                  <w:color w:val="0000FF"/>
                  <w:w w:val="90"/>
                </w:rPr>
                <w:t>Item 4.</w:t>
              </w:r>
            </w:hyperlink>
          </w:p>
        </w:tc>
        <w:tc>
          <w:tcPr>
            <w:tcW w:w="400" w:type="dxa"/>
            <w:vAlign w:val="bottom"/>
            <w:tcBorders>
              <w:top w:val="single" w:sz="8" w:color="0000FF"/>
            </w:tcBorders>
          </w:tcPr>
          <w:p>
            <w:pPr>
              <w:spacing w:after="0"/>
              <w:rPr>
                <w:sz w:val="21"/>
                <w:szCs w:val="21"/>
                <w:color w:val="auto"/>
              </w:rPr>
            </w:pPr>
          </w:p>
        </w:tc>
        <w:tc>
          <w:tcPr>
            <w:tcW w:w="176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87"/>
              </w:rPr>
            </w:pPr>
            <w:hyperlink w:anchor="page44">
              <w:r>
                <w:rPr>
                  <w:rFonts w:ascii="Arial" w:cs="Arial" w:eastAsia="Arial" w:hAnsi="Arial"/>
                  <w:sz w:val="18"/>
                  <w:szCs w:val="18"/>
                  <w:color w:val="0000FF"/>
                  <w:w w:val="87"/>
                </w:rPr>
                <w:t>Controls and Procedures</w:t>
              </w:r>
            </w:hyperlink>
          </w:p>
        </w:tc>
        <w:tc>
          <w:tcPr>
            <w:tcW w:w="2580" w:type="dxa"/>
            <w:vAlign w:val="bottom"/>
            <w:tcBorders>
              <w:top w:val="single" w:sz="8" w:color="0000FF"/>
            </w:tcBorders>
            <w:gridSpan w:val="2"/>
          </w:tcPr>
          <w:p>
            <w:pPr>
              <w:spacing w:after="0"/>
              <w:rPr>
                <w:sz w:val="21"/>
                <w:szCs w:val="21"/>
                <w:color w:val="auto"/>
              </w:rPr>
            </w:pPr>
          </w:p>
        </w:tc>
        <w:tc>
          <w:tcPr>
            <w:tcW w:w="5080" w:type="dxa"/>
            <w:vAlign w:val="bottom"/>
            <w:gridSpan w:val="6"/>
          </w:tcPr>
          <w:p>
            <w:pPr>
              <w:spacing w:after="0"/>
              <w:rPr>
                <w:sz w:val="21"/>
                <w:szCs w:val="21"/>
                <w:color w:val="auto"/>
              </w:rPr>
            </w:pPr>
          </w:p>
        </w:tc>
        <w:tc>
          <w:tcPr>
            <w:tcW w:w="860" w:type="dxa"/>
            <w:vAlign w:val="bottom"/>
          </w:tcPr>
          <w:p>
            <w:pPr>
              <w:jc w:val="right"/>
              <w:spacing w:after="0"/>
              <w:rPr>
                <w:rFonts w:ascii="Arial" w:cs="Arial" w:eastAsia="Arial" w:hAnsi="Arial"/>
                <w:sz w:val="18"/>
                <w:szCs w:val="18"/>
                <w:color w:val="auto"/>
              </w:rPr>
            </w:pPr>
            <w:hyperlink w:anchor="page44">
              <w:r>
                <w:rPr>
                  <w:rFonts w:ascii="Arial" w:cs="Arial" w:eastAsia="Arial" w:hAnsi="Arial"/>
                  <w:sz w:val="18"/>
                  <w:szCs w:val="18"/>
                  <w:color w:val="auto"/>
                </w:rPr>
                <w:t>44</w:t>
              </w:r>
            </w:hyperlink>
          </w:p>
        </w:tc>
        <w:tc>
          <w:tcPr>
            <w:tcW w:w="0" w:type="dxa"/>
            <w:vAlign w:val="bottom"/>
          </w:tcPr>
          <w:p>
            <w:pPr>
              <w:spacing w:after="0"/>
              <w:rPr>
                <w:sz w:val="1"/>
                <w:szCs w:val="1"/>
                <w:color w:val="auto"/>
              </w:rPr>
            </w:pPr>
          </w:p>
        </w:tc>
      </w:tr>
    </w:tbl>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580" w:type="dxa"/>
            <w:vAlign w:val="bottom"/>
            <w:gridSpan w:val="2"/>
          </w:tcPr>
          <w:p>
            <w:pPr>
              <w:ind w:left="1260"/>
              <w:spacing w:after="0"/>
              <w:rPr>
                <w:sz w:val="20"/>
                <w:szCs w:val="20"/>
                <w:color w:val="auto"/>
              </w:rPr>
            </w:pPr>
            <w:r>
              <w:rPr>
                <w:rFonts w:ascii="Arial" w:cs="Arial" w:eastAsia="Arial" w:hAnsi="Arial"/>
                <w:sz w:val="18"/>
                <w:szCs w:val="18"/>
                <w:b w:val="1"/>
                <w:bCs w:val="1"/>
                <w:color w:val="auto"/>
              </w:rPr>
              <w:t>Part II - Other Information</w:t>
            </w:r>
          </w:p>
        </w:tc>
        <w:tc>
          <w:tcPr>
            <w:tcW w:w="240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520" w:type="dxa"/>
            <w:vAlign w:val="bottom"/>
          </w:tcPr>
          <w:p>
            <w:pPr>
              <w:spacing w:after="0" w:line="202" w:lineRule="exact"/>
              <w:rPr>
                <w:rFonts w:ascii="Arial" w:cs="Arial" w:eastAsia="Arial" w:hAnsi="Arial"/>
                <w:sz w:val="18"/>
                <w:szCs w:val="18"/>
                <w:color w:val="0000FF"/>
                <w:w w:val="90"/>
              </w:rPr>
            </w:pPr>
            <w:hyperlink w:anchor="page46">
              <w:r>
                <w:rPr>
                  <w:rFonts w:ascii="Arial" w:cs="Arial" w:eastAsia="Arial" w:hAnsi="Arial"/>
                  <w:sz w:val="18"/>
                  <w:szCs w:val="18"/>
                  <w:color w:val="0000FF"/>
                  <w:w w:val="90"/>
                </w:rPr>
                <w:t>Item 1.</w:t>
              </w:r>
            </w:hyperlink>
          </w:p>
        </w:tc>
        <w:tc>
          <w:tcPr>
            <w:tcW w:w="280" w:type="dxa"/>
            <w:vAlign w:val="bottom"/>
            <w:gridSpan w:val="3"/>
          </w:tcPr>
          <w:p>
            <w:pPr>
              <w:spacing w:after="0"/>
              <w:rPr>
                <w:sz w:val="17"/>
                <w:szCs w:val="17"/>
                <w:color w:val="auto"/>
              </w:rPr>
            </w:pPr>
          </w:p>
        </w:tc>
        <w:tc>
          <w:tcPr>
            <w:tcW w:w="8020" w:type="dxa"/>
            <w:vAlign w:val="bottom"/>
            <w:gridSpan w:val="8"/>
          </w:tcPr>
          <w:p>
            <w:pPr>
              <w:ind w:left="120"/>
              <w:spacing w:after="0" w:line="202" w:lineRule="exact"/>
              <w:rPr>
                <w:rFonts w:ascii="Arial" w:cs="Arial" w:eastAsia="Arial" w:hAnsi="Arial"/>
                <w:sz w:val="18"/>
                <w:szCs w:val="18"/>
                <w:color w:val="0000FF"/>
              </w:rPr>
            </w:pPr>
            <w:hyperlink w:anchor="page46">
              <w:r>
                <w:rPr>
                  <w:rFonts w:ascii="Arial" w:cs="Arial" w:eastAsia="Arial" w:hAnsi="Arial"/>
                  <w:sz w:val="18"/>
                  <w:szCs w:val="18"/>
                  <w:color w:val="0000FF"/>
                </w:rPr>
                <w:t>Legal Proceedings</w:t>
              </w:r>
            </w:hyperlink>
          </w:p>
        </w:tc>
        <w:tc>
          <w:tcPr>
            <w:tcW w:w="2400" w:type="dxa"/>
            <w:vAlign w:val="bottom"/>
          </w:tcPr>
          <w:p>
            <w:pPr>
              <w:jc w:val="right"/>
              <w:spacing w:after="0" w:line="202" w:lineRule="exact"/>
              <w:rPr>
                <w:rFonts w:ascii="Arial" w:cs="Arial" w:eastAsia="Arial" w:hAnsi="Arial"/>
                <w:sz w:val="18"/>
                <w:szCs w:val="18"/>
                <w:color w:val="auto"/>
              </w:rPr>
            </w:pPr>
            <w:hyperlink w:anchor="page46">
              <w:r>
                <w:rPr>
                  <w:rFonts w:ascii="Arial" w:cs="Arial" w:eastAsia="Arial" w:hAnsi="Arial"/>
                  <w:sz w:val="18"/>
                  <w:szCs w:val="18"/>
                  <w:color w:val="auto"/>
                </w:rPr>
                <w:t>46</w:t>
              </w:r>
            </w:hyperlink>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00" w:type="dxa"/>
            <w:vAlign w:val="bottom"/>
            <w:gridSpan w:val="4"/>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Item 1A.</w:t>
              </w:r>
            </w:hyperlink>
          </w:p>
        </w:tc>
        <w:tc>
          <w:tcPr>
            <w:tcW w:w="8020" w:type="dxa"/>
            <w:vAlign w:val="bottom"/>
            <w:gridSpan w:val="8"/>
          </w:tcPr>
          <w:p>
            <w:pPr>
              <w:ind w:left="120"/>
              <w:spacing w:after="0"/>
              <w:rPr>
                <w:rFonts w:ascii="Arial" w:cs="Arial" w:eastAsia="Arial" w:hAnsi="Arial"/>
                <w:sz w:val="18"/>
                <w:szCs w:val="18"/>
                <w:color w:val="0000FF"/>
              </w:rPr>
            </w:pPr>
            <w:hyperlink w:anchor="page46">
              <w:r>
                <w:rPr>
                  <w:rFonts w:ascii="Arial" w:cs="Arial" w:eastAsia="Arial" w:hAnsi="Arial"/>
                  <w:sz w:val="18"/>
                  <w:szCs w:val="18"/>
                  <w:color w:val="0000FF"/>
                </w:rPr>
                <w:t>Risk Factors</w:t>
              </w:r>
            </w:hyperlink>
          </w:p>
        </w:tc>
        <w:tc>
          <w:tcPr>
            <w:tcW w:w="2400" w:type="dxa"/>
            <w:vAlign w:val="bottom"/>
          </w:tcPr>
          <w:p>
            <w:pPr>
              <w:jc w:val="right"/>
              <w:spacing w:after="0"/>
              <w:rPr>
                <w:rFonts w:ascii="Arial" w:cs="Arial" w:eastAsia="Arial" w:hAnsi="Arial"/>
                <w:sz w:val="18"/>
                <w:szCs w:val="18"/>
                <w:color w:val="auto"/>
              </w:rPr>
            </w:pPr>
            <w:hyperlink w:anchor="page46">
              <w:r>
                <w:rPr>
                  <w:rFonts w:ascii="Arial" w:cs="Arial" w:eastAsia="Arial" w:hAnsi="Arial"/>
                  <w:sz w:val="18"/>
                  <w:szCs w:val="18"/>
                  <w:color w:val="auto"/>
                </w:rPr>
                <w:t>46</w:t>
              </w:r>
            </w:hyperlink>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40" w:type="dxa"/>
            <w:vAlign w:val="bottom"/>
            <w:gridSpan w:val="2"/>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Item 2.</w:t>
              </w:r>
            </w:hyperlink>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20" w:type="dxa"/>
            <w:vAlign w:val="bottom"/>
            <w:gridSpan w:val="8"/>
          </w:tcPr>
          <w:p>
            <w:pPr>
              <w:ind w:left="120"/>
              <w:spacing w:after="0"/>
              <w:rPr>
                <w:rFonts w:ascii="Arial" w:cs="Arial" w:eastAsia="Arial" w:hAnsi="Arial"/>
                <w:sz w:val="18"/>
                <w:szCs w:val="18"/>
                <w:color w:val="0000FF"/>
              </w:rPr>
            </w:pPr>
            <w:hyperlink w:anchor="page47">
              <w:r>
                <w:rPr>
                  <w:rFonts w:ascii="Arial" w:cs="Arial" w:eastAsia="Arial" w:hAnsi="Arial"/>
                  <w:sz w:val="18"/>
                  <w:szCs w:val="18"/>
                  <w:color w:val="0000FF"/>
                </w:rPr>
                <w:t>Unregistered Sales of Equity Securities and Use of Proceeds</w:t>
              </w:r>
            </w:hyperlink>
          </w:p>
        </w:tc>
        <w:tc>
          <w:tcPr>
            <w:tcW w:w="2400" w:type="dxa"/>
            <w:vAlign w:val="bottom"/>
          </w:tcPr>
          <w:p>
            <w:pPr>
              <w:jc w:val="right"/>
              <w:spacing w:after="0"/>
              <w:rPr>
                <w:rFonts w:ascii="Arial" w:cs="Arial" w:eastAsia="Arial" w:hAnsi="Arial"/>
                <w:sz w:val="18"/>
                <w:szCs w:val="18"/>
                <w:color w:val="auto"/>
              </w:rPr>
            </w:pPr>
            <w:hyperlink w:anchor="page47">
              <w:r>
                <w:rPr>
                  <w:rFonts w:ascii="Arial" w:cs="Arial" w:eastAsia="Arial" w:hAnsi="Arial"/>
                  <w:sz w:val="18"/>
                  <w:szCs w:val="18"/>
                  <w:color w:val="auto"/>
                </w:rPr>
                <w:t>47</w:t>
              </w:r>
            </w:hyperlink>
          </w:p>
        </w:tc>
      </w:tr>
      <w:tr>
        <w:trPr>
          <w:trHeight w:val="20"/>
        </w:trPr>
        <w:tc>
          <w:tcPr>
            <w:tcW w:w="20" w:type="dxa"/>
            <w:vAlign w:val="bottom"/>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00" w:type="dxa"/>
            <w:vAlign w:val="bottom"/>
            <w:gridSpan w:val="3"/>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Item 3.</w:t>
              </w:r>
            </w:hyperlink>
          </w:p>
        </w:tc>
        <w:tc>
          <w:tcPr>
            <w:tcW w:w="100" w:type="dxa"/>
            <w:vAlign w:val="bottom"/>
          </w:tcPr>
          <w:p>
            <w:pPr>
              <w:spacing w:after="0"/>
              <w:rPr>
                <w:sz w:val="18"/>
                <w:szCs w:val="18"/>
                <w:color w:val="auto"/>
              </w:rPr>
            </w:pPr>
          </w:p>
        </w:tc>
        <w:tc>
          <w:tcPr>
            <w:tcW w:w="8020" w:type="dxa"/>
            <w:vAlign w:val="bottom"/>
            <w:gridSpan w:val="8"/>
          </w:tcPr>
          <w:p>
            <w:pPr>
              <w:ind w:left="120"/>
              <w:spacing w:after="0"/>
              <w:rPr>
                <w:rFonts w:ascii="Arial" w:cs="Arial" w:eastAsia="Arial" w:hAnsi="Arial"/>
                <w:sz w:val="18"/>
                <w:szCs w:val="18"/>
                <w:color w:val="0000FF"/>
              </w:rPr>
            </w:pPr>
            <w:hyperlink w:anchor="page47">
              <w:r>
                <w:rPr>
                  <w:rFonts w:ascii="Arial" w:cs="Arial" w:eastAsia="Arial" w:hAnsi="Arial"/>
                  <w:sz w:val="18"/>
                  <w:szCs w:val="18"/>
                  <w:color w:val="0000FF"/>
                </w:rPr>
                <w:t>Defaults Upon Senior Securities</w:t>
              </w:r>
            </w:hyperlink>
          </w:p>
        </w:tc>
        <w:tc>
          <w:tcPr>
            <w:tcW w:w="2400" w:type="dxa"/>
            <w:vAlign w:val="bottom"/>
          </w:tcPr>
          <w:p>
            <w:pPr>
              <w:jc w:val="right"/>
              <w:spacing w:after="0"/>
              <w:rPr>
                <w:rFonts w:ascii="Arial" w:cs="Arial" w:eastAsia="Arial" w:hAnsi="Arial"/>
                <w:sz w:val="18"/>
                <w:szCs w:val="18"/>
                <w:color w:val="auto"/>
              </w:rPr>
            </w:pPr>
            <w:hyperlink w:anchor="page47">
              <w:r>
                <w:rPr>
                  <w:rFonts w:ascii="Arial" w:cs="Arial" w:eastAsia="Arial" w:hAnsi="Arial"/>
                  <w:sz w:val="18"/>
                  <w:szCs w:val="18"/>
                  <w:color w:val="auto"/>
                </w:rPr>
                <w:t>47</w:t>
              </w:r>
            </w:hyperlink>
          </w:p>
        </w:tc>
      </w:tr>
      <w:tr>
        <w:trPr>
          <w:trHeight w:val="20"/>
        </w:trPr>
        <w:tc>
          <w:tcPr>
            <w:tcW w:w="20" w:type="dxa"/>
            <w:vAlign w:val="bottom"/>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58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rFonts w:ascii="Arial" w:cs="Arial" w:eastAsia="Arial" w:hAnsi="Arial"/>
                <w:sz w:val="18"/>
                <w:szCs w:val="18"/>
                <w:color w:val="0000FF"/>
                <w:w w:val="90"/>
              </w:rPr>
            </w:pPr>
            <w:hyperlink w:anchor="page47">
              <w:r>
                <w:rPr>
                  <w:rFonts w:ascii="Arial" w:cs="Arial" w:eastAsia="Arial" w:hAnsi="Arial"/>
                  <w:sz w:val="18"/>
                  <w:szCs w:val="18"/>
                  <w:color w:val="0000FF"/>
                  <w:w w:val="90"/>
                </w:rPr>
                <w:t>Item 4.</w:t>
              </w:r>
            </w:hyperlink>
          </w:p>
        </w:tc>
        <w:tc>
          <w:tcPr>
            <w:tcW w:w="1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8020" w:type="dxa"/>
            <w:vAlign w:val="bottom"/>
            <w:gridSpan w:val="8"/>
          </w:tcPr>
          <w:p>
            <w:pPr>
              <w:ind w:left="120"/>
              <w:spacing w:after="0"/>
              <w:rPr>
                <w:rFonts w:ascii="Arial" w:cs="Arial" w:eastAsia="Arial" w:hAnsi="Arial"/>
                <w:sz w:val="18"/>
                <w:szCs w:val="18"/>
                <w:color w:val="0000FF"/>
              </w:rPr>
            </w:pPr>
            <w:hyperlink w:anchor="page47">
              <w:r>
                <w:rPr>
                  <w:rFonts w:ascii="Arial" w:cs="Arial" w:eastAsia="Arial" w:hAnsi="Arial"/>
                  <w:sz w:val="18"/>
                  <w:szCs w:val="18"/>
                  <w:color w:val="0000FF"/>
                </w:rPr>
                <w:t>Mine Safety Disclosures</w:t>
              </w:r>
            </w:hyperlink>
          </w:p>
        </w:tc>
        <w:tc>
          <w:tcPr>
            <w:tcW w:w="2400" w:type="dxa"/>
            <w:vAlign w:val="bottom"/>
          </w:tcPr>
          <w:p>
            <w:pPr>
              <w:jc w:val="right"/>
              <w:spacing w:after="0"/>
              <w:rPr>
                <w:rFonts w:ascii="Arial" w:cs="Arial" w:eastAsia="Arial" w:hAnsi="Arial"/>
                <w:sz w:val="18"/>
                <w:szCs w:val="18"/>
                <w:color w:val="auto"/>
              </w:rPr>
            </w:pPr>
            <w:hyperlink w:anchor="page47">
              <w:r>
                <w:rPr>
                  <w:rFonts w:ascii="Arial" w:cs="Arial" w:eastAsia="Arial" w:hAnsi="Arial"/>
                  <w:sz w:val="18"/>
                  <w:szCs w:val="18"/>
                  <w:color w:val="auto"/>
                </w:rPr>
                <w:t>47</w:t>
              </w:r>
            </w:hyperlink>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6140" w:type="dxa"/>
            <w:vAlign w:val="bottom"/>
            <w:gridSpan w:val="3"/>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rFonts w:ascii="Arial" w:cs="Arial" w:eastAsia="Arial" w:hAnsi="Arial"/>
                <w:sz w:val="18"/>
                <w:szCs w:val="18"/>
                <w:color w:val="0000FF"/>
                <w:w w:val="90"/>
              </w:rPr>
            </w:pPr>
            <w:hyperlink w:anchor="page47">
              <w:r>
                <w:rPr>
                  <w:rFonts w:ascii="Arial" w:cs="Arial" w:eastAsia="Arial" w:hAnsi="Arial"/>
                  <w:sz w:val="18"/>
                  <w:szCs w:val="18"/>
                  <w:color w:val="0000FF"/>
                  <w:w w:val="90"/>
                </w:rPr>
                <w:t>Item 5.</w:t>
              </w:r>
            </w:hyperlink>
          </w:p>
        </w:tc>
        <w:tc>
          <w:tcPr>
            <w:tcW w:w="280" w:type="dxa"/>
            <w:vAlign w:val="bottom"/>
            <w:gridSpan w:val="3"/>
          </w:tcPr>
          <w:p>
            <w:pPr>
              <w:spacing w:after="0"/>
              <w:rPr>
                <w:sz w:val="18"/>
                <w:szCs w:val="18"/>
                <w:color w:val="auto"/>
              </w:rPr>
            </w:pPr>
          </w:p>
        </w:tc>
        <w:tc>
          <w:tcPr>
            <w:tcW w:w="8020" w:type="dxa"/>
            <w:vAlign w:val="bottom"/>
            <w:gridSpan w:val="8"/>
          </w:tcPr>
          <w:p>
            <w:pPr>
              <w:ind w:left="120"/>
              <w:spacing w:after="0"/>
              <w:rPr>
                <w:rFonts w:ascii="Arial" w:cs="Arial" w:eastAsia="Arial" w:hAnsi="Arial"/>
                <w:sz w:val="18"/>
                <w:szCs w:val="18"/>
                <w:color w:val="0000FF"/>
              </w:rPr>
            </w:pPr>
            <w:hyperlink w:anchor="page47">
              <w:r>
                <w:rPr>
                  <w:rFonts w:ascii="Arial" w:cs="Arial" w:eastAsia="Arial" w:hAnsi="Arial"/>
                  <w:sz w:val="18"/>
                  <w:szCs w:val="18"/>
                  <w:color w:val="0000FF"/>
                </w:rPr>
                <w:t>Other Information</w:t>
              </w:r>
            </w:hyperlink>
          </w:p>
        </w:tc>
        <w:tc>
          <w:tcPr>
            <w:tcW w:w="2400" w:type="dxa"/>
            <w:vAlign w:val="bottom"/>
          </w:tcPr>
          <w:p>
            <w:pPr>
              <w:jc w:val="right"/>
              <w:spacing w:after="0"/>
              <w:rPr>
                <w:rFonts w:ascii="Arial" w:cs="Arial" w:eastAsia="Arial" w:hAnsi="Arial"/>
                <w:sz w:val="18"/>
                <w:szCs w:val="18"/>
                <w:color w:val="auto"/>
              </w:rPr>
            </w:pPr>
            <w:hyperlink w:anchor="page47">
              <w:r>
                <w:rPr>
                  <w:rFonts w:ascii="Arial" w:cs="Arial" w:eastAsia="Arial" w:hAnsi="Arial"/>
                  <w:sz w:val="18"/>
                  <w:szCs w:val="18"/>
                  <w:color w:val="auto"/>
                </w:rPr>
                <w:t>47</w:t>
              </w:r>
            </w:hyperlink>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600" w:type="dxa"/>
            <w:vAlign w:val="bottom"/>
            <w:gridSpan w:val="4"/>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rFonts w:ascii="Arial" w:cs="Arial" w:eastAsia="Arial" w:hAnsi="Arial"/>
                <w:sz w:val="18"/>
                <w:szCs w:val="18"/>
                <w:color w:val="0000FF"/>
                <w:w w:val="90"/>
              </w:rPr>
            </w:pPr>
            <w:hyperlink w:anchor="page47">
              <w:r>
                <w:rPr>
                  <w:rFonts w:ascii="Arial" w:cs="Arial" w:eastAsia="Arial" w:hAnsi="Arial"/>
                  <w:sz w:val="18"/>
                  <w:szCs w:val="18"/>
                  <w:color w:val="0000FF"/>
                  <w:w w:val="90"/>
                </w:rPr>
                <w:t>Item 6.</w:t>
              </w:r>
            </w:hyperlink>
          </w:p>
        </w:tc>
        <w:tc>
          <w:tcPr>
            <w:tcW w:w="280" w:type="dxa"/>
            <w:vAlign w:val="bottom"/>
            <w:gridSpan w:val="3"/>
          </w:tcPr>
          <w:p>
            <w:pPr>
              <w:spacing w:after="0"/>
              <w:rPr>
                <w:sz w:val="18"/>
                <w:szCs w:val="18"/>
                <w:color w:val="auto"/>
              </w:rPr>
            </w:pPr>
          </w:p>
        </w:tc>
        <w:tc>
          <w:tcPr>
            <w:tcW w:w="8020" w:type="dxa"/>
            <w:vAlign w:val="bottom"/>
            <w:gridSpan w:val="8"/>
          </w:tcPr>
          <w:p>
            <w:pPr>
              <w:ind w:left="120"/>
              <w:spacing w:after="0"/>
              <w:rPr>
                <w:rFonts w:ascii="Arial" w:cs="Arial" w:eastAsia="Arial" w:hAnsi="Arial"/>
                <w:sz w:val="18"/>
                <w:szCs w:val="18"/>
                <w:color w:val="0000FF"/>
              </w:rPr>
            </w:pPr>
            <w:hyperlink w:anchor="page47">
              <w:r>
                <w:rPr>
                  <w:rFonts w:ascii="Arial" w:cs="Arial" w:eastAsia="Arial" w:hAnsi="Arial"/>
                  <w:sz w:val="18"/>
                  <w:szCs w:val="18"/>
                  <w:color w:val="0000FF"/>
                </w:rPr>
                <w:t>Exhibits.</w:t>
              </w:r>
            </w:hyperlink>
          </w:p>
        </w:tc>
        <w:tc>
          <w:tcPr>
            <w:tcW w:w="2400" w:type="dxa"/>
            <w:vAlign w:val="bottom"/>
          </w:tcPr>
          <w:p>
            <w:pPr>
              <w:jc w:val="right"/>
              <w:spacing w:after="0"/>
              <w:rPr>
                <w:rFonts w:ascii="Arial" w:cs="Arial" w:eastAsia="Arial" w:hAnsi="Arial"/>
                <w:sz w:val="18"/>
                <w:szCs w:val="18"/>
                <w:color w:val="auto"/>
              </w:rPr>
            </w:pPr>
            <w:hyperlink w:anchor="page47">
              <w:r>
                <w:rPr>
                  <w:rFonts w:ascii="Arial" w:cs="Arial" w:eastAsia="Arial" w:hAnsi="Arial"/>
                  <w:sz w:val="18"/>
                  <w:szCs w:val="18"/>
                  <w:color w:val="auto"/>
                </w:rPr>
                <w:t>48</w:t>
              </w:r>
            </w:hyperlink>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00" w:type="dxa"/>
            <w:vAlign w:val="bottom"/>
            <w:gridSpan w:val="4"/>
          </w:tcPr>
          <w:p>
            <w:pPr>
              <w:spacing w:after="0"/>
              <w:rPr>
                <w:rFonts w:ascii="Arial" w:cs="Arial" w:eastAsia="Arial" w:hAnsi="Arial"/>
                <w:sz w:val="18"/>
                <w:szCs w:val="18"/>
                <w:color w:val="0000FF"/>
              </w:rPr>
            </w:pPr>
            <w:hyperlink w:anchor="page48">
              <w:r>
                <w:rPr>
                  <w:rFonts w:ascii="Arial" w:cs="Arial" w:eastAsia="Arial" w:hAnsi="Arial"/>
                  <w:sz w:val="18"/>
                  <w:szCs w:val="18"/>
                  <w:color w:val="0000FF"/>
                </w:rPr>
                <w:t>Signature</w:t>
              </w:r>
            </w:hyperlink>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400" w:type="dxa"/>
            <w:vAlign w:val="bottom"/>
          </w:tcPr>
          <w:p>
            <w:pPr>
              <w:jc w:val="right"/>
              <w:spacing w:after="0"/>
              <w:rPr>
                <w:rFonts w:ascii="Arial" w:cs="Arial" w:eastAsia="Arial" w:hAnsi="Arial"/>
                <w:sz w:val="18"/>
                <w:szCs w:val="18"/>
                <w:color w:val="auto"/>
              </w:rPr>
            </w:pPr>
            <w:hyperlink w:anchor="page48">
              <w:r>
                <w:rPr>
                  <w:rFonts w:ascii="Arial" w:cs="Arial" w:eastAsia="Arial" w:hAnsi="Arial"/>
                  <w:sz w:val="18"/>
                  <w:szCs w:val="18"/>
                  <w:color w:val="auto"/>
                </w:rPr>
                <w:t>49</w:t>
              </w:r>
            </w:hyperlink>
          </w:p>
        </w:tc>
      </w:tr>
      <w:tr>
        <w:trPr>
          <w:trHeight w:val="925"/>
        </w:trPr>
        <w:tc>
          <w:tcPr>
            <w:tcW w:w="2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8020" w:type="dxa"/>
            <w:vAlign w:val="bottom"/>
            <w:gridSpan w:val="8"/>
          </w:tcPr>
          <w:p>
            <w:pPr>
              <w:ind w:left="4760"/>
              <w:spacing w:after="0"/>
              <w:rPr>
                <w:sz w:val="20"/>
                <w:szCs w:val="20"/>
                <w:color w:val="auto"/>
              </w:rPr>
            </w:pPr>
            <w:r>
              <w:rPr>
                <w:rFonts w:ascii="Arial" w:cs="Arial" w:eastAsia="Arial" w:hAnsi="Arial"/>
                <w:sz w:val="18"/>
                <w:szCs w:val="18"/>
                <w:color w:val="auto"/>
              </w:rPr>
              <w:t>2</w:t>
            </w:r>
          </w:p>
        </w:tc>
        <w:tc>
          <w:tcPr>
            <w:tcW w:w="240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3560" w:type="dxa"/>
            <w:vAlign w:val="bottom"/>
            <w:tcBorders>
              <w:bottom w:val="single" w:sz="8" w:color="9A9A9A"/>
            </w:tcBorders>
          </w:tcPr>
          <w:p>
            <w:pPr>
              <w:spacing w:after="0"/>
              <w:rPr>
                <w:sz w:val="10"/>
                <w:szCs w:val="10"/>
                <w:color w:val="auto"/>
              </w:rPr>
            </w:pPr>
          </w:p>
        </w:tc>
        <w:tc>
          <w:tcPr>
            <w:tcW w:w="24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56" w:lineRule="exact"/>
        <w:rPr>
          <w:sz w:val="20"/>
          <w:szCs w:val="20"/>
          <w:color w:val="auto"/>
        </w:rPr>
      </w:pPr>
    </w:p>
    <w:p>
      <w:pPr>
        <w:spacing w:after="0" w:line="284" w:lineRule="auto"/>
        <w:rPr>
          <w:sz w:val="20"/>
          <w:szCs w:val="20"/>
          <w:color w:val="auto"/>
        </w:rPr>
      </w:pPr>
      <w:r>
        <w:rPr>
          <w:rFonts w:ascii="Arial" w:cs="Arial" w:eastAsia="Arial" w:hAnsi="Arial"/>
          <w:sz w:val="16"/>
          <w:szCs w:val="16"/>
          <w:i w:val="1"/>
          <w:iCs w:val="1"/>
          <w:color w:val="auto"/>
        </w:rPr>
        <w:t>This Quarterly Report on Form 10-Q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contained in this Quarterly Report on Form 10-Q other than statements of historical fact, including statements regarding our future operating results and financial position, our business strategy and plans, potential acquisitions, market growth and trends, strategic customer agreements and total addressable markets, and our objectives for future operations, are forward-looking statements. The words “believe,” “may,” “will,” “estimate,” “continue,” “anticipate,” “intend,” “expect,” “could,” “would,” “project,” “plan,” “potentially,” “preliminary,” “likely,” and similar expressions are intended to identify forward-looking statements. 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Ouster’s limited operating history and history of losses; the negotiating power and product standards of its customers; fluctuations in its operating results; cancellation or postponement of contracts or unsuccessful implementations; the adoption of its products and the growth of the lidar market generally; its ability to grow its sales and marketing organization; substantial research and development costs needed to develop and commercialize new products; the competitive environment in which it operates; selection of our products for inclusion in target markets; its future capital needs; its ability to use tax attributes; its dependence on key third party suppliers, in particular Benchmark Electronics, Inc., and manufacturers; ability to maintain inventory and the risk of inventory write-downs; inaccurate forecasts of market growth; its ability to manage growth; the creditworthiness of our customers; risks related to acquisitions; risks related to international operations; risks of product delivery problems or defects; costs associated with product warranties; its ability to maintain competitive average selling prices or high sales volumes or reduce product costs; conditions in its customers industries; its ability to recruit and retain key personnel; its use of professional employer organizations; its ability to adequately protect and enforce its intellectual property rights; its ability to effectively respond to evolving regulations and standards; risks related to operating as a public company; risks related to the COVID-19 pandemic, including variants; and risks related to certain of our warrants being accounted for as liabilities. Other risk factors include the important factors described in the section titled “Risk Factors” in the final prospectus and definitive proxy statement, dated February 12, 2021 (the “Proxy Statement/Prospectus”) filed with the Securities and Exchange Commission (the “SEC”) on February 12, 2021, as updated by the risk factors disclosed in the section titled “Risk Factors” in our Form 8-K, filed with the SEC on March 15, 2021, as amended on July 12, 2021, and as further updated in this Quarterly Report on Form 10-Q under Part II. Item 1A. “Risk Factors,” and in our other filings with the SEC, that may cause our actual results, performance or achievements to differ materially and adversely from those expressed or implied by the forward-looking statements.</w:t>
      </w:r>
    </w:p>
    <w:p>
      <w:pPr>
        <w:spacing w:after="0" w:line="200" w:lineRule="exact"/>
        <w:rPr>
          <w:sz w:val="20"/>
          <w:szCs w:val="20"/>
          <w:color w:val="auto"/>
        </w:rPr>
      </w:pPr>
    </w:p>
    <w:p>
      <w:pPr>
        <w:spacing w:after="0" w:line="216" w:lineRule="exact"/>
        <w:rPr>
          <w:sz w:val="20"/>
          <w:szCs w:val="20"/>
          <w:color w:val="auto"/>
        </w:rPr>
      </w:pPr>
    </w:p>
    <w:p>
      <w:pPr>
        <w:spacing w:after="0" w:line="275" w:lineRule="auto"/>
        <w:rPr>
          <w:sz w:val="20"/>
          <w:szCs w:val="20"/>
          <w:color w:val="auto"/>
        </w:rPr>
      </w:pPr>
      <w:r>
        <w:rPr>
          <w:rFonts w:ascii="Arial" w:cs="Arial" w:eastAsia="Arial" w:hAnsi="Arial"/>
          <w:sz w:val="17"/>
          <w:szCs w:val="17"/>
          <w:i w:val="1"/>
          <w:iCs w:val="1"/>
          <w:color w:val="auto"/>
        </w:rPr>
        <w:t>Any forward-looking statements made herein speak only as of the date of this Quarterly Report on Form 10-Q, and you should not rely on forward-looking statements as predictions of future events. Although we believe that the expectations reflected in the forward-looking statements are reasonable, we cannot guarantee that the future results, performance, or achievements reflected in the forward-looking statements will be achieved or occur. Except as required by applicable law, we undertake no obligation to update any of these forward-looking statements for any reason after the date of this Quarterly Report on Form 10-Q or to conform these statements to actual results or revised expectations.</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Unless the context otherwise indicates, references in this Quarterly Report on Form 10-Q to the terms “Ouster,” “the Company,” “we,” “our” and “us” refer to Ouster, Inc.</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may announce material business and financial information to our investors using our investor relations website at https://investors.ouster.com/overview. We therefore encourage investors and others interested in Ouster to review the information that we make available on our website, in addition to following our filings with the SEC, webcasts, press releases and conference calls. Information contained on our website is not part 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OUSTER,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220" w:type="dxa"/>
            <w:vAlign w:val="bottom"/>
          </w:tcPr>
          <w:p>
            <w:pPr>
              <w:jc w:val="right"/>
              <w:ind w:right="211"/>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88"/>
        </w:trPr>
        <w:tc>
          <w:tcPr>
            <w:tcW w:w="82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240,148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11,362</w:t>
            </w:r>
          </w:p>
        </w:tc>
        <w:tc>
          <w:tcPr>
            <w:tcW w:w="0" w:type="dxa"/>
            <w:vAlign w:val="bottom"/>
          </w:tcPr>
          <w:p>
            <w:pPr>
              <w:spacing w:after="0"/>
              <w:rPr>
                <w:sz w:val="1"/>
                <w:szCs w:val="1"/>
                <w:color w:val="auto"/>
              </w:rPr>
            </w:pPr>
          </w:p>
        </w:tc>
      </w:tr>
      <w:tr>
        <w:trPr>
          <w:trHeight w:val="229"/>
        </w:trPr>
        <w:tc>
          <w:tcPr>
            <w:tcW w:w="8280" w:type="dxa"/>
            <w:vAlign w:val="bottom"/>
          </w:tcPr>
          <w:p>
            <w:pPr>
              <w:ind w:left="360"/>
              <w:spacing w:after="0"/>
              <w:rPr>
                <w:sz w:val="20"/>
                <w:szCs w:val="20"/>
                <w:color w:val="auto"/>
              </w:rPr>
            </w:pPr>
            <w:r>
              <w:rPr>
                <w:rFonts w:ascii="Arial" w:cs="Arial" w:eastAsia="Arial" w:hAnsi="Arial"/>
                <w:sz w:val="18"/>
                <w:szCs w:val="18"/>
                <w:color w:val="auto"/>
              </w:rPr>
              <w:t>Restricted cash, current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 net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2,327</w:t>
            </w:r>
          </w:p>
        </w:tc>
        <w:tc>
          <w:tcPr>
            <w:tcW w:w="0" w:type="dxa"/>
            <w:vAlign w:val="bottom"/>
          </w:tcPr>
          <w:p>
            <w:pPr>
              <w:spacing w:after="0"/>
              <w:rPr>
                <w:sz w:val="1"/>
                <w:szCs w:val="1"/>
                <w:color w:val="auto"/>
              </w:rPr>
            </w:pPr>
          </w:p>
        </w:tc>
      </w:tr>
      <w:tr>
        <w:trPr>
          <w:trHeight w:val="229"/>
        </w:trPr>
        <w:tc>
          <w:tcPr>
            <w:tcW w:w="8280" w:type="dxa"/>
            <w:vAlign w:val="bottom"/>
          </w:tcPr>
          <w:p>
            <w:pPr>
              <w:ind w:left="360"/>
              <w:spacing w:after="0"/>
              <w:rPr>
                <w:sz w:val="20"/>
                <w:szCs w:val="20"/>
                <w:color w:val="auto"/>
              </w:rPr>
            </w:pPr>
            <w:r>
              <w:rPr>
                <w:rFonts w:ascii="Arial" w:cs="Arial" w:eastAsia="Arial" w:hAnsi="Arial"/>
                <w:sz w:val="18"/>
                <w:szCs w:val="18"/>
                <w:color w:val="auto"/>
              </w:rPr>
              <w:t>Inventory, net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4,721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4,817</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6,367</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2,441</w:t>
            </w:r>
          </w:p>
        </w:tc>
        <w:tc>
          <w:tcPr>
            <w:tcW w:w="0" w:type="dxa"/>
            <w:vAlign w:val="bottom"/>
          </w:tcPr>
          <w:p>
            <w:pPr>
              <w:spacing w:after="0"/>
              <w:rPr>
                <w:sz w:val="1"/>
                <w:szCs w:val="1"/>
                <w:color w:val="auto"/>
              </w:rPr>
            </w:pPr>
          </w:p>
        </w:tc>
      </w:tr>
      <w:tr>
        <w:trPr>
          <w:trHeight w:val="223"/>
        </w:trPr>
        <w:tc>
          <w:tcPr>
            <w:tcW w:w="828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256,183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21,223</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9,731</w:t>
            </w:r>
          </w:p>
        </w:tc>
        <w:tc>
          <w:tcPr>
            <w:tcW w:w="0" w:type="dxa"/>
            <w:vAlign w:val="bottom"/>
          </w:tcPr>
          <w:p>
            <w:pPr>
              <w:spacing w:after="0"/>
              <w:rPr>
                <w:sz w:val="1"/>
                <w:szCs w:val="1"/>
                <w:color w:val="auto"/>
              </w:rPr>
            </w:pPr>
          </w:p>
        </w:tc>
      </w:tr>
      <w:tr>
        <w:trPr>
          <w:trHeight w:val="230"/>
        </w:trPr>
        <w:tc>
          <w:tcPr>
            <w:tcW w:w="828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10,024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11,071</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 non-current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0" w:type="dxa"/>
            <w:vAlign w:val="bottom"/>
          </w:tcPr>
          <w:p>
            <w:pPr>
              <w:spacing w:after="0"/>
              <w:rPr>
                <w:sz w:val="1"/>
                <w:szCs w:val="1"/>
                <w:color w:val="auto"/>
              </w:rPr>
            </w:pPr>
          </w:p>
        </w:tc>
      </w:tr>
      <w:tr>
        <w:trPr>
          <w:trHeight w:val="229"/>
        </w:trPr>
        <w:tc>
          <w:tcPr>
            <w:tcW w:w="8280" w:type="dxa"/>
            <w:vAlign w:val="bottom"/>
          </w:tcPr>
          <w:p>
            <w:pPr>
              <w:ind w:left="20"/>
              <w:spacing w:after="0"/>
              <w:rPr>
                <w:sz w:val="20"/>
                <w:szCs w:val="20"/>
                <w:color w:val="auto"/>
              </w:rPr>
            </w:pPr>
            <w:r>
              <w:rPr>
                <w:rFonts w:ascii="Arial" w:cs="Arial" w:eastAsia="Arial" w:hAnsi="Arial"/>
                <w:sz w:val="18"/>
                <w:szCs w:val="18"/>
                <w:color w:val="auto"/>
              </w:rPr>
              <w:t>Other non-current assets</w:t>
            </w:r>
          </w:p>
        </w:tc>
        <w:tc>
          <w:tcPr>
            <w:tcW w:w="2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3,385</w:t>
            </w:r>
          </w:p>
        </w:tc>
        <w:tc>
          <w:tcPr>
            <w:tcW w:w="0" w:type="dxa"/>
            <w:vAlign w:val="bottom"/>
          </w:tcPr>
          <w:p>
            <w:pPr>
              <w:spacing w:after="0"/>
              <w:rPr>
                <w:sz w:val="1"/>
                <w:szCs w:val="1"/>
                <w:color w:val="auto"/>
              </w:rPr>
            </w:pPr>
          </w:p>
        </w:tc>
      </w:tr>
      <w:tr>
        <w:trPr>
          <w:trHeight w:val="248"/>
        </w:trPr>
        <w:tc>
          <w:tcPr>
            <w:tcW w:w="8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275,773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46,414</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redeemable convertible preferred stock and stockholders’ equity / (deficit)</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2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8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3,825</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6,894</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and other current liabilities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4,121</w:t>
            </w:r>
          </w:p>
        </w:tc>
        <w:tc>
          <w:tcPr>
            <w:tcW w:w="0" w:type="dxa"/>
            <w:vAlign w:val="bottom"/>
          </w:tcPr>
          <w:p>
            <w:pPr>
              <w:spacing w:after="0"/>
              <w:rPr>
                <w:sz w:val="1"/>
                <w:szCs w:val="1"/>
                <w:color w:val="auto"/>
              </w:rPr>
            </w:pPr>
          </w:p>
        </w:tc>
      </w:tr>
      <w:tr>
        <w:trPr>
          <w:trHeight w:val="230"/>
        </w:trPr>
        <w:tc>
          <w:tcPr>
            <w:tcW w:w="8280" w:type="dxa"/>
            <w:vAlign w:val="bottom"/>
          </w:tcPr>
          <w:p>
            <w:pPr>
              <w:ind w:left="360"/>
              <w:spacing w:after="0"/>
              <w:rPr>
                <w:sz w:val="20"/>
                <w:szCs w:val="20"/>
                <w:color w:val="auto"/>
              </w:rPr>
            </w:pPr>
            <w:r>
              <w:rPr>
                <w:rFonts w:ascii="Arial" w:cs="Arial" w:eastAsia="Arial" w:hAnsi="Arial"/>
                <w:sz w:val="18"/>
                <w:szCs w:val="18"/>
                <w:color w:val="auto"/>
              </w:rPr>
              <w:t>Short-term debt</w:t>
            </w:r>
          </w:p>
        </w:tc>
        <w:tc>
          <w:tcPr>
            <w:tcW w:w="2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7,130</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 liability, current portion</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2,895</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2,772</w:t>
            </w:r>
          </w:p>
        </w:tc>
        <w:tc>
          <w:tcPr>
            <w:tcW w:w="0" w:type="dxa"/>
            <w:vAlign w:val="bottom"/>
          </w:tcPr>
          <w:p>
            <w:pPr>
              <w:spacing w:after="0"/>
              <w:rPr>
                <w:sz w:val="1"/>
                <w:szCs w:val="1"/>
                <w:color w:val="auto"/>
              </w:rPr>
            </w:pPr>
          </w:p>
        </w:tc>
      </w:tr>
      <w:tr>
        <w:trPr>
          <w:trHeight w:val="223"/>
        </w:trPr>
        <w:tc>
          <w:tcPr>
            <w:tcW w:w="828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12,979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20,917</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liability, long-term portion</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11,908</w:t>
            </w:r>
          </w:p>
        </w:tc>
        <w:tc>
          <w:tcPr>
            <w:tcW w:w="0" w:type="dxa"/>
            <w:vAlign w:val="bottom"/>
          </w:tcPr>
          <w:p>
            <w:pPr>
              <w:spacing w:after="0"/>
              <w:rPr>
                <w:sz w:val="1"/>
                <w:szCs w:val="1"/>
                <w:color w:val="auto"/>
              </w:rPr>
            </w:pPr>
          </w:p>
        </w:tc>
      </w:tr>
      <w:tr>
        <w:trPr>
          <w:trHeight w:val="230"/>
        </w:trPr>
        <w:tc>
          <w:tcPr>
            <w:tcW w:w="8280" w:type="dxa"/>
            <w:vAlign w:val="bottom"/>
          </w:tcPr>
          <w:p>
            <w:pPr>
              <w:ind w:left="20"/>
              <w:spacing w:after="0"/>
              <w:rPr>
                <w:sz w:val="20"/>
                <w:szCs w:val="20"/>
                <w:color w:val="auto"/>
              </w:rPr>
            </w:pPr>
            <w:r>
              <w:rPr>
                <w:rFonts w:ascii="Arial" w:cs="Arial" w:eastAsia="Arial" w:hAnsi="Arial"/>
                <w:sz w:val="18"/>
                <w:szCs w:val="18"/>
                <w:color w:val="auto"/>
              </w:rPr>
              <w:t>Warrant liabilities (At June 30, 2021 and December 31, 2020 related party $5,154 and Nil, respectively)</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25,471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49,293</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0" w:type="dxa"/>
            <w:vAlign w:val="bottom"/>
          </w:tcPr>
          <w:p>
            <w:pPr>
              <w:spacing w:after="0"/>
              <w:rPr>
                <w:sz w:val="1"/>
                <w:szCs w:val="1"/>
                <w:color w:val="auto"/>
              </w:rPr>
            </w:pPr>
          </w:p>
        </w:tc>
      </w:tr>
      <w:tr>
        <w:trPr>
          <w:trHeight w:val="223"/>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49,771</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83,096</w:t>
            </w:r>
          </w:p>
        </w:tc>
        <w:tc>
          <w:tcPr>
            <w:tcW w:w="0" w:type="dxa"/>
            <w:vAlign w:val="bottom"/>
          </w:tcPr>
          <w:p>
            <w:pPr>
              <w:spacing w:after="0"/>
              <w:rPr>
                <w:sz w:val="1"/>
                <w:szCs w:val="1"/>
                <w:color w:val="auto"/>
              </w:rPr>
            </w:pPr>
          </w:p>
        </w:tc>
      </w:tr>
      <w:tr>
        <w:trPr>
          <w:trHeight w:val="21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7)</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280" w:type="dxa"/>
            <w:vAlign w:val="bottom"/>
          </w:tcPr>
          <w:p>
            <w:pPr>
              <w:ind w:left="20"/>
              <w:spacing w:after="0" w:line="176" w:lineRule="exact"/>
              <w:rPr>
                <w:sz w:val="20"/>
                <w:szCs w:val="20"/>
                <w:color w:val="auto"/>
              </w:rPr>
            </w:pPr>
            <w:r>
              <w:rPr>
                <w:rFonts w:ascii="Arial" w:cs="Arial" w:eastAsia="Arial" w:hAnsi="Arial"/>
                <w:sz w:val="18"/>
                <w:szCs w:val="18"/>
                <w:color w:val="auto"/>
                <w:w w:val="92"/>
              </w:rPr>
              <w:t>Redeemable convertible preferred stock, $0.0001 par value per share; Nil and 131,411,372 shares authorized at</w:t>
            </w: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280" w:type="dxa"/>
            <w:vAlign w:val="bottom"/>
          </w:tcPr>
          <w:p>
            <w:pPr>
              <w:ind w:left="180"/>
              <w:spacing w:after="0" w:line="176" w:lineRule="exact"/>
              <w:rPr>
                <w:sz w:val="20"/>
                <w:szCs w:val="20"/>
                <w:color w:val="auto"/>
              </w:rPr>
            </w:pPr>
            <w:r>
              <w:rPr>
                <w:rFonts w:ascii="Arial" w:cs="Arial" w:eastAsia="Arial" w:hAnsi="Arial"/>
                <w:sz w:val="18"/>
                <w:szCs w:val="18"/>
                <w:color w:val="auto"/>
                <w:w w:val="90"/>
              </w:rPr>
              <w:t>June 30, 2021 and December 31, 2020; Nil and 88,434,754 shares issued and outstanding at June 30, 2021 and</w:t>
            </w:r>
          </w:p>
        </w:tc>
        <w:tc>
          <w:tcPr>
            <w:tcW w:w="280" w:type="dxa"/>
            <w:vAlign w:val="bottom"/>
          </w:tcPr>
          <w:p>
            <w:pPr>
              <w:spacing w:after="0"/>
              <w:rPr>
                <w:sz w:val="15"/>
                <w:szCs w:val="15"/>
                <w:color w:val="auto"/>
              </w:rPr>
            </w:pPr>
          </w:p>
        </w:tc>
        <w:tc>
          <w:tcPr>
            <w:tcW w:w="12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39,225</w:t>
            </w:r>
          </w:p>
        </w:tc>
        <w:tc>
          <w:tcPr>
            <w:tcW w:w="0" w:type="dxa"/>
            <w:vAlign w:val="bottom"/>
          </w:tcPr>
          <w:p>
            <w:pPr>
              <w:spacing w:after="0"/>
              <w:rPr>
                <w:sz w:val="1"/>
                <w:szCs w:val="1"/>
                <w:color w:val="auto"/>
              </w:rPr>
            </w:pPr>
          </w:p>
        </w:tc>
      </w:tr>
      <w:tr>
        <w:trPr>
          <w:trHeight w:val="135"/>
        </w:trPr>
        <w:tc>
          <w:tcPr>
            <w:tcW w:w="8280" w:type="dxa"/>
            <w:vAlign w:val="bottom"/>
            <w:vMerge w:val="restart"/>
          </w:tcPr>
          <w:p>
            <w:pPr>
              <w:ind w:left="180"/>
              <w:spacing w:after="0" w:line="176" w:lineRule="exact"/>
              <w:rPr>
                <w:sz w:val="20"/>
                <w:szCs w:val="20"/>
                <w:color w:val="auto"/>
              </w:rPr>
            </w:pPr>
            <w:r>
              <w:rPr>
                <w:rFonts w:ascii="Arial" w:cs="Arial" w:eastAsia="Arial" w:hAnsi="Arial"/>
                <w:sz w:val="18"/>
                <w:szCs w:val="18"/>
                <w:color w:val="auto"/>
                <w:w w:val="94"/>
              </w:rPr>
              <w:t>December 31, 2020, respectively (aggregate liquidation preference of Nil and $41,791 at June 30, 2021 and</w:t>
            </w:r>
          </w:p>
        </w:tc>
        <w:tc>
          <w:tcPr>
            <w:tcW w:w="28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828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82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December 31, 2020, respectively)</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 / (deficit):</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280" w:type="dxa"/>
            <w:vAlign w:val="bottom"/>
          </w:tcPr>
          <w:p>
            <w:pPr>
              <w:ind w:left="360"/>
              <w:spacing w:after="0" w:line="176" w:lineRule="exact"/>
              <w:rPr>
                <w:sz w:val="20"/>
                <w:szCs w:val="20"/>
                <w:color w:val="auto"/>
              </w:rPr>
            </w:pPr>
            <w:r>
              <w:rPr>
                <w:rFonts w:ascii="Arial" w:cs="Arial" w:eastAsia="Arial" w:hAnsi="Arial"/>
                <w:sz w:val="18"/>
                <w:szCs w:val="18"/>
                <w:color w:val="auto"/>
                <w:w w:val="91"/>
              </w:rPr>
              <w:t>Common stock, $0.0001 par value; 1,000,000,000 and 210,956,516 shares authorized at June 30, 2021 and</w:t>
            </w:r>
          </w:p>
        </w:tc>
        <w:tc>
          <w:tcPr>
            <w:tcW w:w="28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8280" w:type="dxa"/>
            <w:vAlign w:val="bottom"/>
          </w:tcPr>
          <w:p>
            <w:pPr>
              <w:ind w:left="520"/>
              <w:spacing w:after="0" w:line="176" w:lineRule="exact"/>
              <w:rPr>
                <w:sz w:val="20"/>
                <w:szCs w:val="20"/>
                <w:color w:val="auto"/>
              </w:rPr>
            </w:pPr>
            <w:r>
              <w:rPr>
                <w:rFonts w:ascii="Arial" w:cs="Arial" w:eastAsia="Arial" w:hAnsi="Arial"/>
                <w:sz w:val="18"/>
                <w:szCs w:val="18"/>
                <w:color w:val="auto"/>
                <w:w w:val="89"/>
              </w:rPr>
              <w:t>December 31, 2020, respectively; 161,449,205 and 33,327,294 issued and outstanding at June 30, 2021 and</w:t>
            </w:r>
          </w:p>
        </w:tc>
        <w:tc>
          <w:tcPr>
            <w:tcW w:w="28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280" w:type="dxa"/>
            <w:vAlign w:val="bottom"/>
          </w:tcPr>
          <w:p>
            <w:pPr>
              <w:ind w:left="520"/>
              <w:spacing w:after="0"/>
              <w:rPr>
                <w:sz w:val="20"/>
                <w:szCs w:val="20"/>
                <w:color w:val="auto"/>
              </w:rPr>
            </w:pPr>
            <w:r>
              <w:rPr>
                <w:rFonts w:ascii="Arial" w:cs="Arial" w:eastAsia="Arial" w:hAnsi="Arial"/>
                <w:sz w:val="18"/>
                <w:szCs w:val="18"/>
                <w:color w:val="auto"/>
              </w:rPr>
              <w:t>December 31, 2020, respectively</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28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Preferred stock, $0.0001 par value; 100,000,000 and Nil shares authorized at June 30, 2021 and</w:t>
            </w:r>
          </w:p>
        </w:tc>
        <w:tc>
          <w:tcPr>
            <w:tcW w:w="280" w:type="dxa"/>
            <w:vAlign w:val="bottom"/>
            <w:shd w:val="clear" w:color="auto" w:fill="CCEEFF"/>
          </w:tcPr>
          <w:p>
            <w:pPr>
              <w:spacing w:after="0"/>
              <w:rPr>
                <w:sz w:val="15"/>
                <w:szCs w:val="15"/>
                <w:color w:val="auto"/>
              </w:rPr>
            </w:pPr>
          </w:p>
        </w:tc>
        <w:tc>
          <w:tcPr>
            <w:tcW w:w="12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8280" w:type="dxa"/>
            <w:vAlign w:val="bottom"/>
            <w:shd w:val="clear" w:color="auto" w:fill="CCEEFF"/>
          </w:tcPr>
          <w:p>
            <w:pPr>
              <w:ind w:left="520"/>
              <w:spacing w:after="0" w:line="176" w:lineRule="exact"/>
              <w:rPr>
                <w:sz w:val="20"/>
                <w:szCs w:val="20"/>
                <w:color w:val="auto"/>
              </w:rPr>
            </w:pPr>
            <w:r>
              <w:rPr>
                <w:rFonts w:ascii="Arial" w:cs="Arial" w:eastAsia="Arial" w:hAnsi="Arial"/>
                <w:sz w:val="18"/>
                <w:szCs w:val="18"/>
                <w:color w:val="auto"/>
                <w:w w:val="92"/>
              </w:rPr>
              <w:t>December 31, 2020, respectively; Nil and Nil issued and outstanding at June 30, 2021 and December 31,</w:t>
            </w:r>
          </w:p>
        </w:tc>
        <w:tc>
          <w:tcPr>
            <w:tcW w:w="280" w:type="dxa"/>
            <w:vAlign w:val="bottom"/>
            <w:shd w:val="clear" w:color="auto" w:fill="CCEEFF"/>
          </w:tcPr>
          <w:p>
            <w:pPr>
              <w:spacing w:after="0"/>
              <w:rPr>
                <w:sz w:val="15"/>
                <w:szCs w:val="15"/>
                <w:color w:val="auto"/>
              </w:rPr>
            </w:pPr>
          </w:p>
        </w:tc>
        <w:tc>
          <w:tcPr>
            <w:tcW w:w="1240" w:type="dxa"/>
            <w:vAlign w:val="bottom"/>
            <w:gridSpan w:val="2"/>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2020, respectively</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8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488,329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133,468</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(262,343)</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(209,375)</w:t>
            </w:r>
          </w:p>
        </w:tc>
        <w:tc>
          <w:tcPr>
            <w:tcW w:w="0" w:type="dxa"/>
            <w:vAlign w:val="bottom"/>
          </w:tcPr>
          <w:p>
            <w:pPr>
              <w:spacing w:after="0"/>
              <w:rPr>
                <w:sz w:val="1"/>
                <w:szCs w:val="1"/>
                <w:color w:val="auto"/>
              </w:rPr>
            </w:pPr>
          </w:p>
        </w:tc>
      </w:tr>
      <w:tr>
        <w:trPr>
          <w:trHeight w:val="223"/>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stockholders’ equity / (deficit)</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226,002</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(75,907)</w:t>
            </w:r>
          </w:p>
        </w:tc>
        <w:tc>
          <w:tcPr>
            <w:tcW w:w="0" w:type="dxa"/>
            <w:vAlign w:val="bottom"/>
          </w:tcPr>
          <w:p>
            <w:pPr>
              <w:spacing w:after="0"/>
              <w:rPr>
                <w:sz w:val="1"/>
                <w:szCs w:val="1"/>
                <w:color w:val="auto"/>
              </w:rPr>
            </w:pPr>
          </w:p>
        </w:tc>
      </w:tr>
      <w:tr>
        <w:trPr>
          <w:trHeight w:val="248"/>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redeemable convertible preferred stock, and stockholders’ equity / (deficit)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275,773</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46,414</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OUSTER,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6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6"/>
                <w:szCs w:val="16"/>
                <w:color w:val="auto"/>
              </w:rPr>
            </w:pPr>
          </w:p>
        </w:tc>
        <w:tc>
          <w:tcPr>
            <w:tcW w:w="2680" w:type="dxa"/>
            <w:vAlign w:val="bottom"/>
            <w:gridSpan w:val="4"/>
          </w:tcPr>
          <w:p>
            <w:pPr>
              <w:jc w:val="right"/>
              <w:ind w:right="551"/>
              <w:spacing w:after="0"/>
              <w:rPr>
                <w:sz w:val="20"/>
                <w:szCs w:val="20"/>
                <w:color w:val="auto"/>
              </w:rPr>
            </w:pPr>
            <w:r>
              <w:rPr>
                <w:rFonts w:ascii="Arial" w:cs="Arial" w:eastAsia="Arial" w:hAnsi="Arial"/>
                <w:sz w:val="14"/>
                <w:szCs w:val="14"/>
                <w:b w:val="1"/>
                <w:bCs w:val="1"/>
                <w:color w:val="auto"/>
              </w:rPr>
              <w:t>Six Months Ended June 30,</w:t>
            </w:r>
          </w:p>
        </w:tc>
      </w:tr>
      <w:tr>
        <w:trPr>
          <w:trHeight w:val="186"/>
        </w:trPr>
        <w:tc>
          <w:tcPr>
            <w:tcW w:w="5240" w:type="dxa"/>
            <w:vAlign w:val="bottom"/>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r>
      <w:tr>
        <w:trPr>
          <w:trHeight w:val="212"/>
        </w:trPr>
        <w:tc>
          <w:tcPr>
            <w:tcW w:w="5240" w:type="dxa"/>
            <w:vAlign w:val="bottom"/>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9"/>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Product revenue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4,590</w:t>
            </w:r>
          </w:p>
        </w:tc>
      </w:tr>
      <w:tr>
        <w:trPr>
          <w:trHeight w:val="229"/>
        </w:trPr>
        <w:tc>
          <w:tcPr>
            <w:tcW w:w="5240" w:type="dxa"/>
            <w:vAlign w:val="bottom"/>
          </w:tcPr>
          <w:p>
            <w:pPr>
              <w:ind w:left="360"/>
              <w:spacing w:after="0"/>
              <w:rPr>
                <w:sz w:val="20"/>
                <w:szCs w:val="20"/>
                <w:color w:val="auto"/>
              </w:rPr>
            </w:pPr>
            <w:r>
              <w:rPr>
                <w:rFonts w:ascii="Arial" w:cs="Arial" w:eastAsia="Arial" w:hAnsi="Arial"/>
                <w:sz w:val="18"/>
                <w:szCs w:val="18"/>
                <w:color w:val="auto"/>
              </w:rPr>
              <w:t>Service revenue</w:t>
            </w:r>
          </w:p>
        </w:tc>
        <w:tc>
          <w:tcPr>
            <w:tcW w:w="2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1,991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1,991</w:t>
            </w:r>
          </w:p>
        </w:tc>
      </w:tr>
      <w:tr>
        <w:trPr>
          <w:trHeight w:val="223"/>
        </w:trPr>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7,360</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13,971</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6,581</w:t>
            </w:r>
          </w:p>
        </w:tc>
      </w:tr>
      <w:tr>
        <w:trPr>
          <w:trHeight w:val="209"/>
        </w:trPr>
        <w:tc>
          <w:tcPr>
            <w:tcW w:w="5240" w:type="dxa"/>
            <w:vAlign w:val="bottom"/>
          </w:tcPr>
          <w:p>
            <w:pPr>
              <w:ind w:left="20"/>
              <w:spacing w:after="0"/>
              <w:rPr>
                <w:sz w:val="20"/>
                <w:szCs w:val="20"/>
                <w:color w:val="auto"/>
              </w:rPr>
            </w:pPr>
            <w:r>
              <w:rPr>
                <w:rFonts w:ascii="Arial" w:cs="Arial" w:eastAsia="Arial" w:hAnsi="Arial"/>
                <w:sz w:val="18"/>
                <w:szCs w:val="18"/>
                <w:color w:val="auto"/>
              </w:rPr>
              <w:t>Cost of product revenue</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product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8,078</w:t>
            </w:r>
          </w:p>
        </w:tc>
      </w:tr>
      <w:tr>
        <w:trPr>
          <w:trHeight w:val="229"/>
        </w:trPr>
        <w:tc>
          <w:tcPr>
            <w:tcW w:w="5240" w:type="dxa"/>
            <w:vAlign w:val="bottom"/>
          </w:tcPr>
          <w:p>
            <w:pPr>
              <w:ind w:left="360"/>
              <w:spacing w:after="0"/>
              <w:rPr>
                <w:sz w:val="20"/>
                <w:szCs w:val="20"/>
                <w:color w:val="auto"/>
              </w:rPr>
            </w:pPr>
            <w:r>
              <w:rPr>
                <w:rFonts w:ascii="Arial" w:cs="Arial" w:eastAsia="Arial" w:hAnsi="Arial"/>
                <w:sz w:val="18"/>
                <w:szCs w:val="18"/>
                <w:color w:val="auto"/>
              </w:rPr>
              <w:t>Cost of services</w:t>
            </w:r>
          </w:p>
        </w:tc>
        <w:tc>
          <w:tcPr>
            <w:tcW w:w="2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23"/>
        </w:trPr>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cost of revenue</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5,465</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3,888</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10,333</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8,104</w:t>
            </w:r>
          </w:p>
        </w:tc>
      </w:tr>
      <w:tr>
        <w:trPr>
          <w:trHeight w:val="223"/>
        </w:trPr>
        <w:tc>
          <w:tcPr>
            <w:tcW w:w="5240" w:type="dxa"/>
            <w:vAlign w:val="bottom"/>
          </w:tcPr>
          <w:p>
            <w:pPr>
              <w:ind w:left="20"/>
              <w:spacing w:after="0"/>
              <w:rPr>
                <w:sz w:val="20"/>
                <w:szCs w:val="20"/>
                <w:color w:val="auto"/>
              </w:rPr>
            </w:pPr>
            <w:r>
              <w:rPr>
                <w:rFonts w:ascii="Arial" w:cs="Arial" w:eastAsia="Arial" w:hAnsi="Arial"/>
                <w:sz w:val="18"/>
                <w:szCs w:val="18"/>
                <w:color w:val="auto"/>
              </w:rPr>
              <w:t>Gross profit (loss)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1,895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3,638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(1,523)</w:t>
            </w: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524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6,474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5,678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11,186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10,152</w:t>
            </w:r>
          </w:p>
        </w:tc>
      </w:tr>
      <w:tr>
        <w:trPr>
          <w:trHeight w:val="229"/>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and marketing</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3,911</w:t>
            </w:r>
          </w:p>
        </w:tc>
      </w:tr>
      <w:tr>
        <w:trPr>
          <w:trHeight w:val="230"/>
        </w:trPr>
        <w:tc>
          <w:tcPr>
            <w:tcW w:w="52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12,197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22,104</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7,344</w:t>
            </w:r>
          </w:p>
        </w:tc>
      </w:tr>
      <w:tr>
        <w:trPr>
          <w:trHeight w:val="223"/>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23,285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11,041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41,330</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21,407</w:t>
            </w:r>
          </w:p>
        </w:tc>
      </w:tr>
      <w:tr>
        <w:trPr>
          <w:trHeight w:val="223"/>
        </w:trPr>
        <w:tc>
          <w:tcPr>
            <w:tcW w:w="524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(21,390)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(10,648)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(37,692)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(22,930)</w:t>
            </w: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income:</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524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(1,675)</w:t>
            </w:r>
          </w:p>
        </w:tc>
      </w:tr>
      <w:tr>
        <w:trPr>
          <w:trHeight w:val="230"/>
        </w:trPr>
        <w:tc>
          <w:tcPr>
            <w:tcW w:w="52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income (expense), net</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(10,760)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(14,912)</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(5,423)</w:t>
            </w:r>
          </w:p>
        </w:tc>
      </w:tr>
      <w:tr>
        <w:trPr>
          <w:trHeight w:val="223"/>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other expense, net</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(10,621)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(15,276)</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(7,075)</w:t>
            </w:r>
          </w:p>
        </w:tc>
      </w:tr>
      <w:tr>
        <w:trPr>
          <w:trHeight w:val="223"/>
        </w:trPr>
        <w:tc>
          <w:tcPr>
            <w:tcW w:w="524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(32,011)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(11,312)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(52,968)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(30,005)</w:t>
            </w: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 expense</w:t>
            </w: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240" w:type="dxa"/>
            <w:vAlign w:val="bottom"/>
          </w:tcPr>
          <w:p>
            <w:pPr>
              <w:ind w:left="20"/>
              <w:spacing w:after="0"/>
              <w:rPr>
                <w:sz w:val="20"/>
                <w:szCs w:val="20"/>
                <w:color w:val="auto"/>
              </w:rPr>
            </w:pPr>
            <w:r>
              <w:rPr>
                <w:rFonts w:ascii="Arial" w:cs="Arial" w:eastAsia="Arial" w:hAnsi="Arial"/>
                <w:sz w:val="18"/>
                <w:szCs w:val="18"/>
                <w:color w:val="auto"/>
              </w:rPr>
              <w:t>Net loss and comprehensive loss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(32,011)</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(11,312)</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(52,968)</w:t>
            </w: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(30,005)</w:t>
            </w: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3"/>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per common share, basic and diluted</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w w:val="89"/>
              </w:rPr>
              <w:t>Weighted-average shares used to compute basic and diluted net loss per</w:t>
            </w:r>
          </w:p>
        </w:tc>
        <w:tc>
          <w:tcPr>
            <w:tcW w:w="280" w:type="dxa"/>
            <w:vAlign w:val="bottom"/>
          </w:tcPr>
          <w:p>
            <w:pPr>
              <w:spacing w:after="0"/>
              <w:rPr>
                <w:sz w:val="20"/>
                <w:szCs w:val="20"/>
                <w:color w:val="auto"/>
              </w:rPr>
            </w:pPr>
          </w:p>
        </w:tc>
        <w:tc>
          <w:tcPr>
            <w:tcW w:w="1140" w:type="dxa"/>
            <w:vAlign w:val="bottom"/>
          </w:tcPr>
          <w:p>
            <w:pPr>
              <w:jc w:val="right"/>
              <w:spacing w:after="0" w:line="191" w:lineRule="exact"/>
              <w:rPr>
                <w:sz w:val="20"/>
                <w:szCs w:val="20"/>
                <w:color w:val="auto"/>
              </w:rPr>
            </w:pPr>
            <w:r>
              <w:rPr>
                <w:rFonts w:ascii="Arial" w:cs="Arial" w:eastAsia="Arial" w:hAnsi="Arial"/>
                <w:sz w:val="18"/>
                <w:szCs w:val="18"/>
                <w:color w:val="auto"/>
              </w:rPr>
              <w:t>155,923,689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line="191" w:lineRule="exact"/>
              <w:rPr>
                <w:sz w:val="20"/>
                <w:szCs w:val="20"/>
                <w:color w:val="auto"/>
              </w:rPr>
            </w:pPr>
            <w:r>
              <w:rPr>
                <w:rFonts w:ascii="Arial" w:cs="Arial" w:eastAsia="Arial" w:hAnsi="Arial"/>
                <w:sz w:val="18"/>
                <w:szCs w:val="18"/>
                <w:color w:val="auto"/>
              </w:rPr>
              <w:t>19,138,365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spacing w:after="0" w:line="191" w:lineRule="exact"/>
              <w:rPr>
                <w:sz w:val="20"/>
                <w:szCs w:val="20"/>
                <w:color w:val="auto"/>
              </w:rPr>
            </w:pPr>
            <w:r>
              <w:rPr>
                <w:rFonts w:ascii="Arial" w:cs="Arial" w:eastAsia="Arial" w:hAnsi="Arial"/>
                <w:sz w:val="18"/>
                <w:szCs w:val="18"/>
                <w:color w:val="auto"/>
              </w:rPr>
              <w:t>106,070,590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line="191" w:lineRule="exact"/>
              <w:rPr>
                <w:sz w:val="20"/>
                <w:szCs w:val="20"/>
                <w:color w:val="auto"/>
              </w:rPr>
            </w:pPr>
            <w:r>
              <w:rPr>
                <w:rFonts w:ascii="Arial" w:cs="Arial" w:eastAsia="Arial" w:hAnsi="Arial"/>
                <w:sz w:val="18"/>
                <w:szCs w:val="18"/>
                <w:color w:val="auto"/>
              </w:rPr>
              <w:t>13,452,766</w:t>
            </w:r>
          </w:p>
        </w:tc>
      </w:tr>
    </w:tbl>
    <w:p>
      <w:pPr>
        <w:ind w:left="20"/>
        <w:spacing w:after="0" w:line="202" w:lineRule="auto"/>
        <w:rPr>
          <w:sz w:val="20"/>
          <w:szCs w:val="20"/>
          <w:color w:val="auto"/>
        </w:rPr>
      </w:pPr>
      <w:r>
        <w:rPr>
          <w:rFonts w:ascii="Arial" w:cs="Arial" w:eastAsia="Arial" w:hAnsi="Arial"/>
          <w:sz w:val="18"/>
          <w:szCs w:val="18"/>
          <w:color w:val="auto"/>
        </w:rPr>
        <w:t>share</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OUSTER,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REDEEMABLE CONVERTIBLE PREFERRED STOCK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880" w:type="dxa"/>
            <w:vAlign w:val="bottom"/>
          </w:tcPr>
          <w:p>
            <w:pPr>
              <w:spacing w:after="0"/>
              <w:rPr>
                <w:sz w:val="16"/>
                <w:szCs w:val="16"/>
                <w:color w:val="auto"/>
              </w:rPr>
            </w:pPr>
          </w:p>
        </w:tc>
        <w:tc>
          <w:tcPr>
            <w:tcW w:w="2340" w:type="dxa"/>
            <w:vAlign w:val="bottom"/>
            <w:tcBorders>
              <w:right w:val="single" w:sz="8" w:color="auto"/>
            </w:tcBorders>
            <w:gridSpan w:val="5"/>
          </w:tcPr>
          <w:p>
            <w:pPr>
              <w:jc w:val="center"/>
              <w:ind w:right="120"/>
              <w:spacing w:after="0"/>
              <w:rPr>
                <w:sz w:val="20"/>
                <w:szCs w:val="20"/>
                <w:color w:val="auto"/>
              </w:rPr>
            </w:pPr>
            <w:r>
              <w:rPr>
                <w:rFonts w:ascii="Arial" w:cs="Arial" w:eastAsia="Arial" w:hAnsi="Arial"/>
                <w:sz w:val="13"/>
                <w:szCs w:val="13"/>
                <w:b w:val="1"/>
                <w:bCs w:val="1"/>
                <w:color w:val="auto"/>
                <w:w w:val="88"/>
              </w:rPr>
              <w:t>Redeemable Convertible</w:t>
            </w:r>
          </w:p>
        </w:tc>
        <w:tc>
          <w:tcPr>
            <w:tcW w:w="80" w:type="dxa"/>
            <w:vAlign w:val="bottom"/>
          </w:tcPr>
          <w:p>
            <w:pPr>
              <w:spacing w:after="0"/>
              <w:rPr>
                <w:sz w:val="16"/>
                <w:szCs w:val="16"/>
                <w:color w:val="auto"/>
              </w:rPr>
            </w:pPr>
          </w:p>
        </w:tc>
        <w:tc>
          <w:tcPr>
            <w:tcW w:w="2000" w:type="dxa"/>
            <w:vAlign w:val="bottom"/>
            <w:gridSpan w:val="3"/>
            <w:vMerge w:val="restart"/>
          </w:tcPr>
          <w:p>
            <w:pPr>
              <w:jc w:val="right"/>
              <w:ind w:right="397"/>
              <w:spacing w:after="0"/>
              <w:rPr>
                <w:sz w:val="20"/>
                <w:szCs w:val="20"/>
                <w:color w:val="auto"/>
              </w:rPr>
            </w:pPr>
            <w:r>
              <w:rPr>
                <w:rFonts w:ascii="Arial" w:cs="Arial" w:eastAsia="Arial" w:hAnsi="Arial"/>
                <w:sz w:val="13"/>
                <w:szCs w:val="13"/>
                <w:b w:val="1"/>
                <w:bCs w:val="1"/>
                <w:color w:val="auto"/>
              </w:rPr>
              <w:t>Common Stock</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1"/>
              </w:rPr>
              <w:t>Additional</w:t>
            </w:r>
          </w:p>
        </w:tc>
        <w:tc>
          <w:tcPr>
            <w:tcW w:w="140" w:type="dxa"/>
            <w:vAlign w:val="bottom"/>
          </w:tcPr>
          <w:p>
            <w:pPr>
              <w:spacing w:after="0"/>
              <w:rPr>
                <w:sz w:val="16"/>
                <w:szCs w:val="16"/>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2"/>
              </w:rPr>
              <w:t>Notes</w:t>
            </w: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restart"/>
          </w:tcPr>
          <w:p>
            <w:pPr>
              <w:jc w:val="center"/>
              <w:ind w:right="39"/>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22"/>
        </w:trPr>
        <w:tc>
          <w:tcPr>
            <w:tcW w:w="1880" w:type="dxa"/>
            <w:vAlign w:val="bottom"/>
          </w:tcPr>
          <w:p>
            <w:pPr>
              <w:spacing w:after="0"/>
              <w:rPr>
                <w:sz w:val="10"/>
                <w:szCs w:val="10"/>
                <w:color w:val="auto"/>
              </w:rPr>
            </w:pPr>
          </w:p>
        </w:tc>
        <w:tc>
          <w:tcPr>
            <w:tcW w:w="2340" w:type="dxa"/>
            <w:vAlign w:val="bottom"/>
            <w:tcBorders>
              <w:right w:val="single" w:sz="8" w:color="auto"/>
            </w:tcBorders>
            <w:gridSpan w:val="5"/>
          </w:tcPr>
          <w:p>
            <w:pPr>
              <w:jc w:val="center"/>
              <w:ind w:right="120"/>
              <w:spacing w:after="0" w:line="122" w:lineRule="exact"/>
              <w:rPr>
                <w:sz w:val="20"/>
                <w:szCs w:val="20"/>
                <w:color w:val="auto"/>
              </w:rPr>
            </w:pPr>
            <w:r>
              <w:rPr>
                <w:rFonts w:ascii="Arial" w:cs="Arial" w:eastAsia="Arial" w:hAnsi="Arial"/>
                <w:sz w:val="13"/>
                <w:szCs w:val="13"/>
                <w:b w:val="1"/>
                <w:bCs w:val="1"/>
                <w:color w:val="auto"/>
                <w:w w:val="88"/>
              </w:rPr>
              <w:t>Preferred Stock</w:t>
            </w:r>
          </w:p>
        </w:tc>
        <w:tc>
          <w:tcPr>
            <w:tcW w:w="80" w:type="dxa"/>
            <w:vAlign w:val="bottom"/>
          </w:tcPr>
          <w:p>
            <w:pPr>
              <w:spacing w:after="0"/>
              <w:rPr>
                <w:sz w:val="10"/>
                <w:szCs w:val="10"/>
                <w:color w:val="auto"/>
              </w:rPr>
            </w:pPr>
          </w:p>
        </w:tc>
        <w:tc>
          <w:tcPr>
            <w:tcW w:w="2000" w:type="dxa"/>
            <w:vAlign w:val="bottom"/>
            <w:gridSpan w:val="3"/>
            <w:vMerge w:val="continue"/>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84"/>
              </w:rPr>
              <w:t>receivable</w:t>
            </w: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880" w:type="dxa"/>
            <w:vAlign w:val="bottom"/>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980" w:type="dxa"/>
            <w:vAlign w:val="bottom"/>
            <w:gridSpan w:val="2"/>
          </w:tcPr>
          <w:p>
            <w:pPr>
              <w:jc w:val="center"/>
              <w:ind w:right="260"/>
              <w:spacing w:after="0" w:line="54" w:lineRule="exact"/>
              <w:rPr>
                <w:sz w:val="20"/>
                <w:szCs w:val="20"/>
                <w:color w:val="auto"/>
              </w:rPr>
            </w:pPr>
            <w:r>
              <w:rPr>
                <w:rFonts w:ascii="Arial" w:cs="Arial" w:eastAsia="Arial" w:hAnsi="Arial"/>
                <w:sz w:val="6"/>
                <w:szCs w:val="6"/>
                <w:b w:val="1"/>
                <w:bCs w:val="1"/>
                <w:color w:val="auto"/>
              </w:rPr>
              <w:t>Paid-in-</w:t>
            </w:r>
          </w:p>
        </w:tc>
        <w:tc>
          <w:tcPr>
            <w:tcW w:w="140" w:type="dxa"/>
            <w:vAlign w:val="bottom"/>
          </w:tcPr>
          <w:p>
            <w:pPr>
              <w:spacing w:after="0"/>
              <w:rPr>
                <w:sz w:val="4"/>
                <w:szCs w:val="4"/>
                <w:color w:val="auto"/>
              </w:rPr>
            </w:pPr>
          </w:p>
        </w:tc>
        <w:tc>
          <w:tcPr>
            <w:tcW w:w="1040" w:type="dxa"/>
            <w:vAlign w:val="bottom"/>
            <w:gridSpan w:val="2"/>
          </w:tcPr>
          <w:p>
            <w:pPr>
              <w:jc w:val="center"/>
              <w:ind w:right="220"/>
              <w:spacing w:after="0" w:line="54" w:lineRule="exact"/>
              <w:rPr>
                <w:sz w:val="20"/>
                <w:szCs w:val="20"/>
                <w:color w:val="auto"/>
              </w:rPr>
            </w:pPr>
            <w:r>
              <w:rPr>
                <w:rFonts w:ascii="Arial" w:cs="Arial" w:eastAsia="Arial" w:hAnsi="Arial"/>
                <w:sz w:val="6"/>
                <w:szCs w:val="6"/>
                <w:b w:val="1"/>
                <w:bCs w:val="1"/>
                <w:color w:val="auto"/>
              </w:rPr>
              <w:t>from</w:t>
            </w:r>
          </w:p>
        </w:tc>
        <w:tc>
          <w:tcPr>
            <w:tcW w:w="140" w:type="dxa"/>
            <w:vAlign w:val="bottom"/>
          </w:tcPr>
          <w:p>
            <w:pPr>
              <w:spacing w:after="0"/>
              <w:rPr>
                <w:sz w:val="4"/>
                <w:szCs w:val="4"/>
                <w:color w:val="auto"/>
              </w:rPr>
            </w:pPr>
          </w:p>
        </w:tc>
        <w:tc>
          <w:tcPr>
            <w:tcW w:w="1040" w:type="dxa"/>
            <w:vAlign w:val="bottom"/>
            <w:gridSpan w:val="2"/>
          </w:tcPr>
          <w:p>
            <w:pPr>
              <w:ind w:left="40"/>
              <w:spacing w:after="0" w:line="54" w:lineRule="exact"/>
              <w:rPr>
                <w:sz w:val="20"/>
                <w:szCs w:val="20"/>
                <w:color w:val="auto"/>
              </w:rPr>
            </w:pPr>
            <w:r>
              <w:rPr>
                <w:rFonts w:ascii="Arial" w:cs="Arial" w:eastAsia="Arial" w:hAnsi="Arial"/>
                <w:sz w:val="6"/>
                <w:szCs w:val="6"/>
                <w:b w:val="1"/>
                <w:bCs w:val="1"/>
                <w:color w:val="auto"/>
              </w:rPr>
              <w:t>Accumulated</w:t>
            </w:r>
          </w:p>
        </w:tc>
        <w:tc>
          <w:tcPr>
            <w:tcW w:w="120" w:type="dxa"/>
            <w:vAlign w:val="bottom"/>
          </w:tcPr>
          <w:p>
            <w:pPr>
              <w:spacing w:after="0"/>
              <w:rPr>
                <w:sz w:val="4"/>
                <w:szCs w:val="4"/>
                <w:color w:val="auto"/>
              </w:rPr>
            </w:pPr>
          </w:p>
        </w:tc>
        <w:tc>
          <w:tcPr>
            <w:tcW w:w="980" w:type="dxa"/>
            <w:vAlign w:val="bottom"/>
          </w:tcPr>
          <w:p>
            <w:pPr>
              <w:jc w:val="center"/>
              <w:ind w:right="59"/>
              <w:spacing w:after="0" w:line="54" w:lineRule="exact"/>
              <w:rPr>
                <w:sz w:val="20"/>
                <w:szCs w:val="20"/>
                <w:color w:val="auto"/>
              </w:rPr>
            </w:pPr>
            <w:r>
              <w:rPr>
                <w:rFonts w:ascii="Arial" w:cs="Arial" w:eastAsia="Arial" w:hAnsi="Arial"/>
                <w:sz w:val="6"/>
                <w:szCs w:val="6"/>
                <w:b w:val="1"/>
                <w:bCs w:val="1"/>
                <w:color w:val="auto"/>
              </w:rPr>
              <w:t>Stockholders’</w:t>
            </w:r>
          </w:p>
        </w:tc>
        <w:tc>
          <w:tcPr>
            <w:tcW w:w="0" w:type="dxa"/>
            <w:vAlign w:val="bottom"/>
          </w:tcPr>
          <w:p>
            <w:pPr>
              <w:spacing w:after="0"/>
              <w:rPr>
                <w:sz w:val="1"/>
                <w:szCs w:val="1"/>
                <w:color w:val="auto"/>
              </w:rPr>
            </w:pPr>
          </w:p>
        </w:tc>
      </w:tr>
      <w:tr>
        <w:trPr>
          <w:trHeight w:val="183"/>
        </w:trPr>
        <w:tc>
          <w:tcPr>
            <w:tcW w:w="1880" w:type="dxa"/>
            <w:vAlign w:val="bottom"/>
          </w:tcPr>
          <w:p>
            <w:pPr>
              <w:spacing w:after="0"/>
              <w:rPr>
                <w:sz w:val="15"/>
                <w:szCs w:val="15"/>
                <w:color w:val="auto"/>
              </w:rPr>
            </w:pPr>
          </w:p>
        </w:tc>
        <w:tc>
          <w:tcPr>
            <w:tcW w:w="1160" w:type="dxa"/>
            <w:vAlign w:val="bottom"/>
            <w:gridSpan w:val="2"/>
          </w:tcPr>
          <w:p>
            <w:pPr>
              <w:ind w:left="280"/>
              <w:spacing w:after="0" w:line="183" w:lineRule="exact"/>
              <w:rPr>
                <w:sz w:val="20"/>
                <w:szCs w:val="20"/>
                <w:color w:val="auto"/>
              </w:rPr>
            </w:pPr>
            <w:r>
              <w:rPr>
                <w:rFonts w:ascii="Arial" w:cs="Arial" w:eastAsia="Arial" w:hAnsi="Arial"/>
                <w:sz w:val="13"/>
                <w:szCs w:val="13"/>
                <w:b w:val="1"/>
                <w:bCs w:val="1"/>
                <w:color w:val="auto"/>
              </w:rPr>
              <w:t xml:space="preserve">Shares </w:t>
            </w:r>
            <w:r>
              <w:rPr>
                <w:rFonts w:ascii="Arial" w:cs="Arial" w:eastAsia="Arial" w:hAnsi="Arial"/>
                <w:sz w:val="16"/>
                <w:szCs w:val="16"/>
                <w:b w:val="1"/>
                <w:bCs w:val="1"/>
                <w:color w:val="auto"/>
                <w:vertAlign w:val="superscript"/>
              </w:rPr>
              <w:t>(1)</w:t>
            </w:r>
          </w:p>
        </w:tc>
        <w:tc>
          <w:tcPr>
            <w:tcW w:w="200" w:type="dxa"/>
            <w:vAlign w:val="bottom"/>
          </w:tcPr>
          <w:p>
            <w:pPr>
              <w:spacing w:after="0"/>
              <w:rPr>
                <w:sz w:val="15"/>
                <w:szCs w:val="15"/>
                <w:color w:val="auto"/>
              </w:rPr>
            </w:pPr>
          </w:p>
        </w:tc>
        <w:tc>
          <w:tcPr>
            <w:tcW w:w="980" w:type="dxa"/>
            <w:vAlign w:val="bottom"/>
            <w:tcBorders>
              <w:right w:val="single" w:sz="8" w:color="auto"/>
            </w:tcBorders>
            <w:gridSpan w:val="2"/>
          </w:tcPr>
          <w:p>
            <w:pPr>
              <w:ind w:left="120"/>
              <w:spacing w:after="0"/>
              <w:rPr>
                <w:sz w:val="20"/>
                <w:szCs w:val="20"/>
                <w:color w:val="auto"/>
              </w:rPr>
            </w:pPr>
            <w:r>
              <w:rPr>
                <w:rFonts w:ascii="Arial" w:cs="Arial" w:eastAsia="Arial" w:hAnsi="Arial"/>
                <w:sz w:val="13"/>
                <w:szCs w:val="13"/>
                <w:b w:val="1"/>
                <w:bCs w:val="1"/>
                <w:color w:val="auto"/>
              </w:rPr>
              <w:t>Amount</w:t>
            </w:r>
          </w:p>
        </w:tc>
        <w:tc>
          <w:tcPr>
            <w:tcW w:w="80" w:type="dxa"/>
            <w:vAlign w:val="bottom"/>
          </w:tcPr>
          <w:p>
            <w:pPr>
              <w:spacing w:after="0"/>
              <w:rPr>
                <w:sz w:val="15"/>
                <w:szCs w:val="15"/>
                <w:color w:val="auto"/>
              </w:rPr>
            </w:pPr>
          </w:p>
        </w:tc>
        <w:tc>
          <w:tcPr>
            <w:tcW w:w="1180" w:type="dxa"/>
            <w:vAlign w:val="bottom"/>
            <w:gridSpan w:val="2"/>
          </w:tcPr>
          <w:p>
            <w:pPr>
              <w:ind w:left="300"/>
              <w:spacing w:after="0" w:line="183" w:lineRule="exact"/>
              <w:rPr>
                <w:sz w:val="20"/>
                <w:szCs w:val="20"/>
                <w:color w:val="auto"/>
              </w:rPr>
            </w:pPr>
            <w:r>
              <w:rPr>
                <w:rFonts w:ascii="Arial" w:cs="Arial" w:eastAsia="Arial" w:hAnsi="Arial"/>
                <w:sz w:val="13"/>
                <w:szCs w:val="13"/>
                <w:b w:val="1"/>
                <w:bCs w:val="1"/>
                <w:color w:val="auto"/>
              </w:rPr>
              <w:t xml:space="preserve">Shares </w:t>
            </w:r>
            <w:r>
              <w:rPr>
                <w:rFonts w:ascii="Arial" w:cs="Arial" w:eastAsia="Arial" w:hAnsi="Arial"/>
                <w:sz w:val="16"/>
                <w:szCs w:val="16"/>
                <w:b w:val="1"/>
                <w:bCs w:val="1"/>
                <w:color w:val="auto"/>
                <w:vertAlign w:val="superscript"/>
              </w:rPr>
              <w:t>(1)</w:t>
            </w:r>
          </w:p>
        </w:tc>
        <w:tc>
          <w:tcPr>
            <w:tcW w:w="820" w:type="dxa"/>
            <w:vAlign w:val="bottom"/>
          </w:tcPr>
          <w:p>
            <w:pPr>
              <w:jc w:val="right"/>
              <w:ind w:right="17"/>
              <w:spacing w:after="0"/>
              <w:rPr>
                <w:sz w:val="20"/>
                <w:szCs w:val="20"/>
                <w:color w:val="auto"/>
              </w:rPr>
            </w:pPr>
            <w:r>
              <w:rPr>
                <w:rFonts w:ascii="Arial" w:cs="Arial" w:eastAsia="Arial" w:hAnsi="Arial"/>
                <w:sz w:val="13"/>
                <w:szCs w:val="13"/>
                <w:b w:val="1"/>
                <w:bCs w:val="1"/>
                <w:color w:val="auto"/>
              </w:rPr>
              <w:t>Amount</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Capital</w:t>
            </w:r>
          </w:p>
        </w:tc>
        <w:tc>
          <w:tcPr>
            <w:tcW w:w="140" w:type="dxa"/>
            <w:vAlign w:val="bottom"/>
          </w:tcPr>
          <w:p>
            <w:pPr>
              <w:spacing w:after="0"/>
              <w:rPr>
                <w:sz w:val="15"/>
                <w:szCs w:val="15"/>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3"/>
              </w:rPr>
              <w:t>stockholders</w:t>
            </w:r>
          </w:p>
        </w:tc>
        <w:tc>
          <w:tcPr>
            <w:tcW w:w="140" w:type="dxa"/>
            <w:vAlign w:val="bottom"/>
          </w:tcPr>
          <w:p>
            <w:pPr>
              <w:spacing w:after="0"/>
              <w:rPr>
                <w:sz w:val="15"/>
                <w:szCs w:val="15"/>
                <w:color w:val="auto"/>
              </w:rPr>
            </w:pPr>
          </w:p>
        </w:tc>
        <w:tc>
          <w:tcPr>
            <w:tcW w:w="1040" w:type="dxa"/>
            <w:vAlign w:val="bottom"/>
            <w:gridSpan w:val="2"/>
          </w:tcPr>
          <w:p>
            <w:pPr>
              <w:ind w:left="220"/>
              <w:spacing w:after="0"/>
              <w:rPr>
                <w:sz w:val="20"/>
                <w:szCs w:val="20"/>
                <w:color w:val="auto"/>
              </w:rPr>
            </w:pPr>
            <w:r>
              <w:rPr>
                <w:rFonts w:ascii="Arial" w:cs="Arial" w:eastAsia="Arial" w:hAnsi="Arial"/>
                <w:sz w:val="13"/>
                <w:szCs w:val="13"/>
                <w:b w:val="1"/>
                <w:bCs w:val="1"/>
                <w:color w:val="auto"/>
              </w:rPr>
              <w:t>Deficit</w:t>
            </w:r>
          </w:p>
        </w:tc>
        <w:tc>
          <w:tcPr>
            <w:tcW w:w="120" w:type="dxa"/>
            <w:vAlign w:val="bottom"/>
          </w:tcPr>
          <w:p>
            <w:pPr>
              <w:spacing w:after="0"/>
              <w:rPr>
                <w:sz w:val="15"/>
                <w:szCs w:val="15"/>
                <w:color w:val="auto"/>
              </w:rPr>
            </w:pPr>
          </w:p>
        </w:tc>
        <w:tc>
          <w:tcPr>
            <w:tcW w:w="980" w:type="dxa"/>
            <w:vAlign w:val="bottom"/>
          </w:tcPr>
          <w:p>
            <w:pPr>
              <w:jc w:val="center"/>
              <w:ind w:right="39"/>
              <w:spacing w:after="0"/>
              <w:rPr>
                <w:sz w:val="20"/>
                <w:szCs w:val="20"/>
                <w:color w:val="auto"/>
              </w:rPr>
            </w:pPr>
            <w:r>
              <w:rPr>
                <w:rFonts w:ascii="Arial" w:cs="Arial" w:eastAsia="Arial" w:hAnsi="Arial"/>
                <w:sz w:val="13"/>
                <w:szCs w:val="13"/>
                <w:b w:val="1"/>
                <w:bCs w:val="1"/>
                <w:color w:val="auto"/>
                <w:w w:val="91"/>
              </w:rPr>
              <w:t>Equity (Deficit)</w:t>
            </w:r>
          </w:p>
        </w:tc>
        <w:tc>
          <w:tcPr>
            <w:tcW w:w="0" w:type="dxa"/>
            <w:vAlign w:val="bottom"/>
          </w:tcPr>
          <w:p>
            <w:pPr>
              <w:spacing w:after="0"/>
              <w:rPr>
                <w:sz w:val="1"/>
                <w:szCs w:val="1"/>
                <w:color w:val="auto"/>
              </w:rPr>
            </w:pPr>
          </w:p>
        </w:tc>
      </w:tr>
      <w:tr>
        <w:trPr>
          <w:trHeight w:val="169"/>
        </w:trPr>
        <w:tc>
          <w:tcPr>
            <w:tcW w:w="1880" w:type="dxa"/>
            <w:vAlign w:val="bottom"/>
            <w:tcBorders>
              <w:top w:val="single" w:sz="8" w:color="CCEEFF"/>
            </w:tcBorders>
            <w:shd w:val="clear" w:color="auto" w:fill="CCEEFF"/>
          </w:tcPr>
          <w:p>
            <w:pPr>
              <w:ind w:left="20"/>
              <w:spacing w:after="0" w:line="141" w:lineRule="exact"/>
              <w:rPr>
                <w:sz w:val="20"/>
                <w:szCs w:val="20"/>
                <w:color w:val="auto"/>
              </w:rPr>
            </w:pPr>
            <w:r>
              <w:rPr>
                <w:rFonts w:ascii="Arial" w:cs="Arial" w:eastAsia="Arial" w:hAnsi="Arial"/>
                <w:sz w:val="13"/>
                <w:szCs w:val="13"/>
                <w:color w:val="auto"/>
              </w:rPr>
              <w:t>Balance — December 31, 2020</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88,434,754</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39,225</w:t>
            </w:r>
          </w:p>
        </w:tc>
        <w:tc>
          <w:tcPr>
            <w:tcW w:w="100" w:type="dxa"/>
            <w:vAlign w:val="bottom"/>
            <w:tcBorders>
              <w:top w:val="single" w:sz="8" w:color="CCEEFF"/>
              <w:right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33,327,294</w:t>
            </w:r>
          </w:p>
        </w:tc>
        <w:tc>
          <w:tcPr>
            <w:tcW w:w="10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ind w:right="677"/>
              <w:spacing w:after="0"/>
              <w:rPr>
                <w:sz w:val="20"/>
                <w:szCs w:val="20"/>
                <w:color w:val="auto"/>
              </w:rPr>
            </w:pPr>
            <w:r>
              <w:rPr>
                <w:rFonts w:ascii="Arial" w:cs="Arial" w:eastAsia="Arial" w:hAnsi="Arial"/>
                <w:sz w:val="13"/>
                <w:szCs w:val="13"/>
                <w:color w:val="auto"/>
                <w:w w:val="82"/>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133,468</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tcBorders>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(209,375)</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(75,907)</w:t>
            </w:r>
          </w:p>
        </w:tc>
        <w:tc>
          <w:tcPr>
            <w:tcW w:w="0" w:type="dxa"/>
            <w:vAlign w:val="bottom"/>
          </w:tcPr>
          <w:p>
            <w:pPr>
              <w:spacing w:after="0"/>
              <w:rPr>
                <w:sz w:val="1"/>
                <w:szCs w:val="1"/>
                <w:color w:val="auto"/>
              </w:rPr>
            </w:pPr>
          </w:p>
        </w:tc>
      </w:tr>
      <w:tr>
        <w:trPr>
          <w:trHeight w:val="122"/>
        </w:trPr>
        <w:tc>
          <w:tcPr>
            <w:tcW w:w="1880" w:type="dxa"/>
            <w:vAlign w:val="bottom"/>
          </w:tcPr>
          <w:p>
            <w:pPr>
              <w:ind w:left="180"/>
              <w:spacing w:after="0" w:line="122" w:lineRule="exact"/>
              <w:rPr>
                <w:sz w:val="20"/>
                <w:szCs w:val="20"/>
                <w:color w:val="auto"/>
              </w:rPr>
            </w:pPr>
            <w:r>
              <w:rPr>
                <w:rFonts w:ascii="Arial" w:cs="Arial" w:eastAsia="Arial" w:hAnsi="Arial"/>
                <w:sz w:val="13"/>
                <w:szCs w:val="13"/>
                <w:color w:val="auto"/>
                <w:w w:val="90"/>
              </w:rPr>
              <w:t>Issuance of common stock upon</w:t>
            </w: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98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1080" w:type="dxa"/>
            <w:vAlign w:val="bottom"/>
            <w:vMerge w:val="restart"/>
          </w:tcPr>
          <w:p>
            <w:pPr>
              <w:jc w:val="right"/>
              <w:spacing w:after="0"/>
              <w:rPr>
                <w:sz w:val="20"/>
                <w:szCs w:val="20"/>
                <w:color w:val="auto"/>
              </w:rPr>
            </w:pPr>
            <w:r>
              <w:rPr>
                <w:rFonts w:ascii="Arial" w:cs="Arial" w:eastAsia="Arial" w:hAnsi="Arial"/>
                <w:sz w:val="13"/>
                <w:szCs w:val="13"/>
                <w:color w:val="auto"/>
              </w:rPr>
              <w:t>727,114</w:t>
            </w: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vMerge w:val="restart"/>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189</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vMerge w:val="restart"/>
          </w:tcPr>
          <w:p>
            <w:pPr>
              <w:ind w:left="7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1040" w:type="dxa"/>
            <w:vAlign w:val="bottom"/>
            <w:gridSpan w:val="2"/>
            <w:vMerge w:val="restart"/>
          </w:tcPr>
          <w:p>
            <w:pPr>
              <w:ind w:left="7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190</w:t>
            </w:r>
          </w:p>
        </w:tc>
        <w:tc>
          <w:tcPr>
            <w:tcW w:w="0" w:type="dxa"/>
            <w:vAlign w:val="bottom"/>
          </w:tcPr>
          <w:p>
            <w:pPr>
              <w:spacing w:after="0"/>
              <w:rPr>
                <w:sz w:val="1"/>
                <w:szCs w:val="1"/>
                <w:color w:val="auto"/>
              </w:rPr>
            </w:pPr>
          </w:p>
        </w:tc>
      </w:tr>
      <w:tr>
        <w:trPr>
          <w:trHeight w:val="168"/>
        </w:trPr>
        <w:tc>
          <w:tcPr>
            <w:tcW w:w="1880" w:type="dxa"/>
            <w:vAlign w:val="bottom"/>
          </w:tcPr>
          <w:p>
            <w:pPr>
              <w:ind w:left="360"/>
              <w:spacing w:after="0"/>
              <w:rPr>
                <w:sz w:val="20"/>
                <w:szCs w:val="20"/>
                <w:color w:val="auto"/>
              </w:rPr>
            </w:pPr>
            <w:r>
              <w:rPr>
                <w:rFonts w:ascii="Arial" w:cs="Arial" w:eastAsia="Arial" w:hAnsi="Arial"/>
                <w:sz w:val="13"/>
                <w:szCs w:val="13"/>
                <w:color w:val="auto"/>
              </w:rPr>
              <w:t>exercise of stock options</w:t>
            </w:r>
          </w:p>
        </w:tc>
        <w:tc>
          <w:tcPr>
            <w:tcW w:w="11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Borders>
              <w:right w:val="single" w:sz="8" w:color="auto"/>
            </w:tcBorders>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880" w:type="dxa"/>
            <w:vAlign w:val="bottom"/>
            <w:shd w:val="clear" w:color="auto" w:fill="CCEEFF"/>
          </w:tcPr>
          <w:p>
            <w:pPr>
              <w:ind w:left="180"/>
              <w:spacing w:after="0"/>
              <w:rPr>
                <w:sz w:val="20"/>
                <w:szCs w:val="20"/>
                <w:color w:val="auto"/>
              </w:rPr>
            </w:pPr>
            <w:r>
              <w:rPr>
                <w:rFonts w:ascii="Arial" w:cs="Arial" w:eastAsia="Arial" w:hAnsi="Arial"/>
                <w:sz w:val="13"/>
                <w:szCs w:val="13"/>
                <w:color w:val="auto"/>
                <w:w w:val="97"/>
              </w:rPr>
              <w:t>Repurchase of common stock</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98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(220,561)</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w:t>
            </w:r>
          </w:p>
        </w:tc>
        <w:tc>
          <w:tcPr>
            <w:tcW w:w="0" w:type="dxa"/>
            <w:vAlign w:val="bottom"/>
          </w:tcPr>
          <w:p>
            <w:pPr>
              <w:spacing w:after="0"/>
              <w:rPr>
                <w:sz w:val="1"/>
                <w:szCs w:val="1"/>
                <w:color w:val="auto"/>
              </w:rPr>
            </w:pPr>
          </w:p>
        </w:tc>
      </w:tr>
      <w:tr>
        <w:trPr>
          <w:trHeight w:val="122"/>
        </w:trPr>
        <w:tc>
          <w:tcPr>
            <w:tcW w:w="1880" w:type="dxa"/>
            <w:vAlign w:val="bottom"/>
          </w:tcPr>
          <w:p>
            <w:pPr>
              <w:ind w:left="180"/>
              <w:spacing w:after="0" w:line="122" w:lineRule="exact"/>
              <w:rPr>
                <w:sz w:val="20"/>
                <w:szCs w:val="20"/>
                <w:color w:val="auto"/>
              </w:rPr>
            </w:pPr>
            <w:r>
              <w:rPr>
                <w:rFonts w:ascii="Arial" w:cs="Arial" w:eastAsia="Arial" w:hAnsi="Arial"/>
                <w:sz w:val="13"/>
                <w:szCs w:val="13"/>
                <w:color w:val="auto"/>
              </w:rPr>
              <w:t>Issuance of redeemable</w:t>
            </w: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880" w:type="dxa"/>
            <w:vAlign w:val="bottom"/>
          </w:tcPr>
          <w:p>
            <w:pPr>
              <w:ind w:left="360"/>
              <w:spacing w:after="0" w:line="122" w:lineRule="exact"/>
              <w:rPr>
                <w:sz w:val="20"/>
                <w:szCs w:val="20"/>
                <w:color w:val="auto"/>
              </w:rPr>
            </w:pPr>
            <w:r>
              <w:rPr>
                <w:rFonts w:ascii="Arial" w:cs="Arial" w:eastAsia="Arial" w:hAnsi="Arial"/>
                <w:sz w:val="13"/>
                <w:szCs w:val="13"/>
                <w:color w:val="auto"/>
                <w:w w:val="97"/>
              </w:rPr>
              <w:t>convertible preferred stock</w:t>
            </w:r>
          </w:p>
        </w:tc>
        <w:tc>
          <w:tcPr>
            <w:tcW w:w="1060" w:type="dxa"/>
            <w:vAlign w:val="bottom"/>
            <w:vMerge w:val="restart"/>
          </w:tcPr>
          <w:p>
            <w:pPr>
              <w:jc w:val="right"/>
              <w:spacing w:after="0"/>
              <w:rPr>
                <w:sz w:val="20"/>
                <w:szCs w:val="20"/>
                <w:color w:val="auto"/>
              </w:rPr>
            </w:pPr>
            <w:r>
              <w:rPr>
                <w:rFonts w:ascii="Arial" w:cs="Arial" w:eastAsia="Arial" w:hAnsi="Arial"/>
                <w:sz w:val="13"/>
                <w:szCs w:val="13"/>
                <w:color w:val="auto"/>
              </w:rPr>
              <w:t>4,232,947</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58,097</w:t>
            </w: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tcPr>
          <w:p>
            <w:pPr>
              <w:spacing w:after="0"/>
              <w:rPr>
                <w:sz w:val="10"/>
                <w:szCs w:val="10"/>
                <w:color w:val="auto"/>
              </w:rPr>
            </w:pPr>
          </w:p>
        </w:tc>
        <w:tc>
          <w:tcPr>
            <w:tcW w:w="3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1040" w:type="dxa"/>
            <w:vAlign w:val="bottom"/>
            <w:gridSpan w:val="2"/>
            <w:vMerge w:val="restart"/>
          </w:tcPr>
          <w:p>
            <w:pPr>
              <w:ind w:left="7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1040" w:type="dxa"/>
            <w:vAlign w:val="bottom"/>
            <w:gridSpan w:val="2"/>
            <w:vMerge w:val="restart"/>
          </w:tcPr>
          <w:p>
            <w:pPr>
              <w:ind w:left="7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1880" w:type="dxa"/>
            <w:vAlign w:val="bottom"/>
          </w:tcPr>
          <w:p>
            <w:pPr>
              <w:ind w:left="360"/>
              <w:spacing w:after="0"/>
              <w:rPr>
                <w:sz w:val="20"/>
                <w:szCs w:val="20"/>
                <w:color w:val="auto"/>
              </w:rPr>
            </w:pPr>
            <w:r>
              <w:rPr>
                <w:rFonts w:ascii="Arial" w:cs="Arial" w:eastAsia="Arial" w:hAnsi="Arial"/>
                <w:sz w:val="13"/>
                <w:szCs w:val="13"/>
                <w:color w:val="auto"/>
              </w:rPr>
              <w:t>upon exercise of warrants</w:t>
            </w:r>
          </w:p>
        </w:tc>
        <w:tc>
          <w:tcPr>
            <w:tcW w:w="10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880" w:type="dxa"/>
            <w:vAlign w:val="bottom"/>
            <w:shd w:val="clear" w:color="auto" w:fill="CCEEFF"/>
          </w:tcPr>
          <w:p>
            <w:pPr>
              <w:ind w:left="180"/>
              <w:spacing w:after="0" w:line="129" w:lineRule="exact"/>
              <w:rPr>
                <w:sz w:val="20"/>
                <w:szCs w:val="20"/>
                <w:color w:val="auto"/>
              </w:rPr>
            </w:pPr>
            <w:r>
              <w:rPr>
                <w:rFonts w:ascii="Arial" w:cs="Arial" w:eastAsia="Arial" w:hAnsi="Arial"/>
                <w:sz w:val="13"/>
                <w:szCs w:val="13"/>
                <w:color w:val="auto"/>
              </w:rPr>
              <w:t>Conversion of redeemable</w:t>
            </w: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880" w:type="dxa"/>
            <w:vAlign w:val="bottom"/>
            <w:shd w:val="clear" w:color="auto" w:fill="CCEEFF"/>
          </w:tcPr>
          <w:p>
            <w:pPr>
              <w:ind w:left="360"/>
              <w:spacing w:after="0" w:line="122" w:lineRule="exact"/>
              <w:rPr>
                <w:sz w:val="20"/>
                <w:szCs w:val="20"/>
                <w:color w:val="auto"/>
              </w:rPr>
            </w:pPr>
            <w:r>
              <w:rPr>
                <w:rFonts w:ascii="Arial" w:cs="Arial" w:eastAsia="Arial" w:hAnsi="Arial"/>
                <w:sz w:val="13"/>
                <w:szCs w:val="13"/>
                <w:color w:val="auto"/>
                <w:w w:val="89"/>
              </w:rPr>
              <w:t>convertible preferred stock to</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(92,667,701)</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(97,322)</w:t>
            </w:r>
          </w:p>
        </w:tc>
        <w:tc>
          <w:tcPr>
            <w:tcW w:w="10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92,667,701</w:t>
            </w: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97,322</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40" w:type="dxa"/>
            <w:vAlign w:val="bottom"/>
            <w:gridSpan w:val="2"/>
            <w:vMerge w:val="restart"/>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0"/>
                <w:szCs w:val="10"/>
                <w:color w:val="auto"/>
              </w:rPr>
            </w:pPr>
          </w:p>
        </w:tc>
        <w:tc>
          <w:tcPr>
            <w:tcW w:w="1040" w:type="dxa"/>
            <w:vAlign w:val="bottom"/>
            <w:gridSpan w:val="2"/>
            <w:vMerge w:val="restart"/>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97,334</w:t>
            </w:r>
          </w:p>
        </w:tc>
        <w:tc>
          <w:tcPr>
            <w:tcW w:w="0" w:type="dxa"/>
            <w:vAlign w:val="bottom"/>
          </w:tcPr>
          <w:p>
            <w:pPr>
              <w:spacing w:after="0"/>
              <w:rPr>
                <w:sz w:val="1"/>
                <w:szCs w:val="1"/>
                <w:color w:val="auto"/>
              </w:rPr>
            </w:pPr>
          </w:p>
        </w:tc>
      </w:tr>
      <w:tr>
        <w:trPr>
          <w:trHeight w:val="176"/>
        </w:trPr>
        <w:tc>
          <w:tcPr>
            <w:tcW w:w="1880" w:type="dxa"/>
            <w:vAlign w:val="bottom"/>
            <w:shd w:val="clear" w:color="auto" w:fill="CCEEFF"/>
          </w:tcPr>
          <w:p>
            <w:pPr>
              <w:ind w:left="360"/>
              <w:spacing w:after="0"/>
              <w:rPr>
                <w:sz w:val="20"/>
                <w:szCs w:val="20"/>
                <w:color w:val="auto"/>
              </w:rPr>
            </w:pPr>
            <w:r>
              <w:rPr>
                <w:rFonts w:ascii="Arial" w:cs="Arial" w:eastAsia="Arial" w:hAnsi="Arial"/>
                <w:sz w:val="13"/>
                <w:szCs w:val="13"/>
                <w:color w:val="auto"/>
              </w:rPr>
              <w:t>common stock</w:t>
            </w:r>
          </w:p>
        </w:tc>
        <w:tc>
          <w:tcPr>
            <w:tcW w:w="10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1880" w:type="dxa"/>
            <w:vAlign w:val="bottom"/>
          </w:tcPr>
          <w:p>
            <w:pPr>
              <w:ind w:left="180"/>
              <w:spacing w:after="0" w:line="122" w:lineRule="exact"/>
              <w:rPr>
                <w:sz w:val="20"/>
                <w:szCs w:val="20"/>
                <w:color w:val="auto"/>
              </w:rPr>
            </w:pPr>
            <w:r>
              <w:rPr>
                <w:rFonts w:ascii="Arial" w:cs="Arial" w:eastAsia="Arial" w:hAnsi="Arial"/>
                <w:sz w:val="13"/>
                <w:szCs w:val="13"/>
                <w:color w:val="auto"/>
                <w:w w:val="90"/>
              </w:rPr>
              <w:t>Issuance of common stock upon</w:t>
            </w: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880" w:type="dxa"/>
            <w:vAlign w:val="bottom"/>
          </w:tcPr>
          <w:p>
            <w:pPr>
              <w:ind w:left="360"/>
              <w:spacing w:after="0" w:line="122" w:lineRule="exact"/>
              <w:rPr>
                <w:sz w:val="20"/>
                <w:szCs w:val="20"/>
                <w:color w:val="auto"/>
              </w:rPr>
            </w:pPr>
            <w:r>
              <w:rPr>
                <w:rFonts w:ascii="Arial" w:cs="Arial" w:eastAsia="Arial" w:hAnsi="Arial"/>
                <w:sz w:val="13"/>
                <w:szCs w:val="13"/>
                <w:color w:val="auto"/>
                <w:w w:val="93"/>
              </w:rPr>
              <w:t>merger and private offering,</w:t>
            </w: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880" w:type="dxa"/>
            <w:vAlign w:val="bottom"/>
          </w:tcPr>
          <w:p>
            <w:pPr>
              <w:ind w:left="360"/>
              <w:spacing w:after="0" w:line="122" w:lineRule="exact"/>
              <w:rPr>
                <w:sz w:val="20"/>
                <w:szCs w:val="20"/>
                <w:color w:val="auto"/>
              </w:rPr>
            </w:pPr>
            <w:r>
              <w:rPr>
                <w:rFonts w:ascii="Arial" w:cs="Arial" w:eastAsia="Arial" w:hAnsi="Arial"/>
                <w:sz w:val="13"/>
                <w:szCs w:val="13"/>
                <w:color w:val="auto"/>
              </w:rPr>
              <w:t>net of acquired private</w:t>
            </w: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880" w:type="dxa"/>
            <w:vAlign w:val="bottom"/>
          </w:tcPr>
          <w:p>
            <w:pPr>
              <w:ind w:left="360"/>
              <w:spacing w:after="0" w:line="122" w:lineRule="exact"/>
              <w:rPr>
                <w:sz w:val="20"/>
                <w:szCs w:val="20"/>
                <w:color w:val="auto"/>
              </w:rPr>
            </w:pPr>
            <w:r>
              <w:rPr>
                <w:rFonts w:ascii="Arial" w:cs="Arial" w:eastAsia="Arial" w:hAnsi="Arial"/>
                <w:sz w:val="13"/>
                <w:szCs w:val="13"/>
                <w:color w:val="auto"/>
              </w:rPr>
              <w:t>placement warrants of</w:t>
            </w: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98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1080" w:type="dxa"/>
            <w:vAlign w:val="bottom"/>
            <w:vMerge w:val="restart"/>
          </w:tcPr>
          <w:p>
            <w:pPr>
              <w:jc w:val="right"/>
              <w:spacing w:after="0"/>
              <w:rPr>
                <w:sz w:val="20"/>
                <w:szCs w:val="20"/>
                <w:color w:val="auto"/>
              </w:rPr>
            </w:pPr>
            <w:r>
              <w:rPr>
                <w:rFonts w:ascii="Arial" w:cs="Arial" w:eastAsia="Arial" w:hAnsi="Arial"/>
                <w:sz w:val="13"/>
                <w:szCs w:val="13"/>
                <w:color w:val="auto"/>
              </w:rPr>
              <w:t>34,947,657</w:t>
            </w: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vMerge w:val="restart"/>
          </w:tcPr>
          <w:p>
            <w:pPr>
              <w:jc w:val="right"/>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272,061</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vMerge w:val="restart"/>
          </w:tcPr>
          <w:p>
            <w:pPr>
              <w:ind w:left="7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1040" w:type="dxa"/>
            <w:vAlign w:val="bottom"/>
            <w:gridSpan w:val="2"/>
            <w:vMerge w:val="restart"/>
          </w:tcPr>
          <w:p>
            <w:pPr>
              <w:ind w:left="7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272,064</w:t>
            </w:r>
          </w:p>
        </w:tc>
        <w:tc>
          <w:tcPr>
            <w:tcW w:w="0" w:type="dxa"/>
            <w:vAlign w:val="bottom"/>
          </w:tcPr>
          <w:p>
            <w:pPr>
              <w:spacing w:after="0"/>
              <w:rPr>
                <w:sz w:val="1"/>
                <w:szCs w:val="1"/>
                <w:color w:val="auto"/>
              </w:rPr>
            </w:pPr>
          </w:p>
        </w:tc>
      </w:tr>
      <w:tr>
        <w:trPr>
          <w:trHeight w:val="168"/>
        </w:trPr>
        <w:tc>
          <w:tcPr>
            <w:tcW w:w="1880" w:type="dxa"/>
            <w:vAlign w:val="bottom"/>
          </w:tcPr>
          <w:p>
            <w:pPr>
              <w:ind w:left="360"/>
              <w:spacing w:after="0"/>
              <w:rPr>
                <w:sz w:val="20"/>
                <w:szCs w:val="20"/>
                <w:color w:val="auto"/>
              </w:rPr>
            </w:pPr>
            <w:r>
              <w:rPr>
                <w:rFonts w:ascii="Arial" w:cs="Arial" w:eastAsia="Arial" w:hAnsi="Arial"/>
                <w:sz w:val="13"/>
                <w:szCs w:val="13"/>
                <w:color w:val="auto"/>
              </w:rPr>
              <w:t>$19,377</w:t>
            </w:r>
          </w:p>
        </w:tc>
        <w:tc>
          <w:tcPr>
            <w:tcW w:w="11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Borders>
              <w:right w:val="single" w:sz="8" w:color="auto"/>
            </w:tcBorders>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880" w:type="dxa"/>
            <w:vAlign w:val="bottom"/>
            <w:shd w:val="clear" w:color="auto" w:fill="CCEEFF"/>
          </w:tcPr>
          <w:p>
            <w:pPr>
              <w:ind w:left="180"/>
              <w:spacing w:after="0" w:line="129" w:lineRule="exact"/>
              <w:rPr>
                <w:sz w:val="20"/>
                <w:szCs w:val="20"/>
                <w:color w:val="auto"/>
              </w:rPr>
            </w:pPr>
            <w:r>
              <w:rPr>
                <w:rFonts w:ascii="Arial" w:cs="Arial" w:eastAsia="Arial" w:hAnsi="Arial"/>
                <w:sz w:val="13"/>
                <w:szCs w:val="13"/>
                <w:color w:val="auto"/>
              </w:rPr>
              <w:t>Offering costs in connection</w:t>
            </w:r>
          </w:p>
        </w:tc>
        <w:tc>
          <w:tcPr>
            <w:tcW w:w="11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98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1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spacing w:after="0"/>
              <w:rPr>
                <w:sz w:val="11"/>
                <w:szCs w:val="11"/>
                <w:color w:val="auto"/>
              </w:rPr>
            </w:pPr>
          </w:p>
        </w:tc>
        <w:tc>
          <w:tcPr>
            <w:tcW w:w="3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(26,620)</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(26,620)</w:t>
            </w:r>
          </w:p>
        </w:tc>
        <w:tc>
          <w:tcPr>
            <w:tcW w:w="0" w:type="dxa"/>
            <w:vAlign w:val="bottom"/>
          </w:tcPr>
          <w:p>
            <w:pPr>
              <w:spacing w:after="0"/>
              <w:rPr>
                <w:sz w:val="1"/>
                <w:szCs w:val="1"/>
                <w:color w:val="auto"/>
              </w:rPr>
            </w:pPr>
          </w:p>
        </w:tc>
      </w:tr>
      <w:tr>
        <w:trPr>
          <w:trHeight w:val="176"/>
        </w:trPr>
        <w:tc>
          <w:tcPr>
            <w:tcW w:w="1880" w:type="dxa"/>
            <w:vAlign w:val="bottom"/>
            <w:shd w:val="clear" w:color="auto" w:fill="CCEEFF"/>
          </w:tcPr>
          <w:p>
            <w:pPr>
              <w:ind w:left="360"/>
              <w:spacing w:after="0"/>
              <w:rPr>
                <w:sz w:val="20"/>
                <w:szCs w:val="20"/>
                <w:color w:val="auto"/>
              </w:rPr>
            </w:pPr>
            <w:r>
              <w:rPr>
                <w:rFonts w:ascii="Arial" w:cs="Arial" w:eastAsia="Arial" w:hAnsi="Arial"/>
                <w:sz w:val="13"/>
                <w:szCs w:val="13"/>
                <w:color w:val="auto"/>
              </w:rPr>
              <w:t>with the merger</w:t>
            </w:r>
          </w:p>
        </w:tc>
        <w:tc>
          <w:tcPr>
            <w:tcW w:w="116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tcBorders>
              <w:right w:val="single" w:sz="8" w:color="auto"/>
            </w:tcBorders>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gridSpan w:val="2"/>
            <w:vMerge w:val="continue"/>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2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880" w:type="dxa"/>
            <w:vAlign w:val="bottom"/>
          </w:tcPr>
          <w:p>
            <w:pPr>
              <w:ind w:left="180"/>
              <w:spacing w:after="0" w:line="122" w:lineRule="exact"/>
              <w:rPr>
                <w:sz w:val="20"/>
                <w:szCs w:val="20"/>
                <w:color w:val="auto"/>
              </w:rPr>
            </w:pPr>
            <w:r>
              <w:rPr>
                <w:rFonts w:ascii="Arial" w:cs="Arial" w:eastAsia="Arial" w:hAnsi="Arial"/>
                <w:sz w:val="13"/>
                <w:szCs w:val="13"/>
                <w:color w:val="auto"/>
                <w:w w:val="91"/>
              </w:rPr>
              <w:t>Vesting of early exercised stock</w:t>
            </w: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98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tcPr>
          <w:p>
            <w:pPr>
              <w:spacing w:after="0"/>
              <w:rPr>
                <w:sz w:val="10"/>
                <w:szCs w:val="10"/>
                <w:color w:val="auto"/>
              </w:rPr>
            </w:pPr>
          </w:p>
        </w:tc>
        <w:tc>
          <w:tcPr>
            <w:tcW w:w="3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438</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vMerge w:val="restart"/>
          </w:tcPr>
          <w:p>
            <w:pPr>
              <w:ind w:left="7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1040" w:type="dxa"/>
            <w:vAlign w:val="bottom"/>
            <w:gridSpan w:val="2"/>
            <w:vMerge w:val="restart"/>
          </w:tcPr>
          <w:p>
            <w:pPr>
              <w:ind w:left="7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438</w:t>
            </w:r>
          </w:p>
        </w:tc>
        <w:tc>
          <w:tcPr>
            <w:tcW w:w="0" w:type="dxa"/>
            <w:vAlign w:val="bottom"/>
          </w:tcPr>
          <w:p>
            <w:pPr>
              <w:spacing w:after="0"/>
              <w:rPr>
                <w:sz w:val="1"/>
                <w:szCs w:val="1"/>
                <w:color w:val="auto"/>
              </w:rPr>
            </w:pPr>
          </w:p>
        </w:tc>
      </w:tr>
      <w:tr>
        <w:trPr>
          <w:trHeight w:val="168"/>
        </w:trPr>
        <w:tc>
          <w:tcPr>
            <w:tcW w:w="1880" w:type="dxa"/>
            <w:vAlign w:val="bottom"/>
          </w:tcPr>
          <w:p>
            <w:pPr>
              <w:ind w:left="180"/>
              <w:spacing w:after="0"/>
              <w:rPr>
                <w:sz w:val="20"/>
                <w:szCs w:val="20"/>
                <w:color w:val="auto"/>
              </w:rPr>
            </w:pPr>
            <w:r>
              <w:rPr>
                <w:rFonts w:ascii="Arial" w:cs="Arial" w:eastAsia="Arial" w:hAnsi="Arial"/>
                <w:sz w:val="13"/>
                <w:szCs w:val="13"/>
                <w:color w:val="auto"/>
              </w:rPr>
              <w:t>options</w:t>
            </w:r>
          </w:p>
        </w:tc>
        <w:tc>
          <w:tcPr>
            <w:tcW w:w="11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Borders>
              <w:right w:val="single" w:sz="8" w:color="auto"/>
            </w:tcBorders>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880" w:type="dxa"/>
            <w:vAlign w:val="bottom"/>
            <w:shd w:val="clear" w:color="auto" w:fill="CCEEFF"/>
          </w:tcPr>
          <w:p>
            <w:pPr>
              <w:ind w:left="180"/>
              <w:spacing w:after="0" w:line="129" w:lineRule="exact"/>
              <w:rPr>
                <w:sz w:val="20"/>
                <w:szCs w:val="20"/>
                <w:color w:val="auto"/>
              </w:rPr>
            </w:pPr>
            <w:r>
              <w:rPr>
                <w:rFonts w:ascii="Arial" w:cs="Arial" w:eastAsia="Arial" w:hAnsi="Arial"/>
                <w:sz w:val="13"/>
                <w:szCs w:val="13"/>
                <w:color w:val="auto"/>
              </w:rPr>
              <w:t>Stock-based compensation</w:t>
            </w:r>
          </w:p>
        </w:tc>
        <w:tc>
          <w:tcPr>
            <w:tcW w:w="11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98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1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spacing w:after="0"/>
              <w:rPr>
                <w:sz w:val="11"/>
                <w:szCs w:val="11"/>
                <w:color w:val="auto"/>
              </w:rPr>
            </w:pPr>
          </w:p>
        </w:tc>
        <w:tc>
          <w:tcPr>
            <w:tcW w:w="3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5,256</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5,256</w:t>
            </w:r>
          </w:p>
        </w:tc>
        <w:tc>
          <w:tcPr>
            <w:tcW w:w="0" w:type="dxa"/>
            <w:vAlign w:val="bottom"/>
          </w:tcPr>
          <w:p>
            <w:pPr>
              <w:spacing w:after="0"/>
              <w:rPr>
                <w:sz w:val="1"/>
                <w:szCs w:val="1"/>
                <w:color w:val="auto"/>
              </w:rPr>
            </w:pPr>
          </w:p>
        </w:tc>
      </w:tr>
      <w:tr>
        <w:trPr>
          <w:trHeight w:val="176"/>
        </w:trPr>
        <w:tc>
          <w:tcPr>
            <w:tcW w:w="1880" w:type="dxa"/>
            <w:vAlign w:val="bottom"/>
            <w:shd w:val="clear" w:color="auto" w:fill="CCEEFF"/>
          </w:tcPr>
          <w:p>
            <w:pPr>
              <w:ind w:left="360"/>
              <w:spacing w:after="0"/>
              <w:rPr>
                <w:sz w:val="20"/>
                <w:szCs w:val="20"/>
                <w:color w:val="auto"/>
              </w:rPr>
            </w:pPr>
            <w:r>
              <w:rPr>
                <w:rFonts w:ascii="Arial" w:cs="Arial" w:eastAsia="Arial" w:hAnsi="Arial"/>
                <w:sz w:val="13"/>
                <w:szCs w:val="13"/>
                <w:color w:val="auto"/>
              </w:rPr>
              <w:t>expense</w:t>
            </w:r>
          </w:p>
        </w:tc>
        <w:tc>
          <w:tcPr>
            <w:tcW w:w="116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tcBorders>
              <w:right w:val="single" w:sz="8" w:color="auto"/>
            </w:tcBorders>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gridSpan w:val="2"/>
            <w:vMerge w:val="continue"/>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2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880" w:type="dxa"/>
            <w:vAlign w:val="bottom"/>
          </w:tcPr>
          <w:p>
            <w:pPr>
              <w:ind w:left="180"/>
              <w:spacing w:after="0"/>
              <w:rPr>
                <w:sz w:val="20"/>
                <w:szCs w:val="20"/>
                <w:color w:val="auto"/>
              </w:rPr>
            </w:pPr>
            <w:r>
              <w:rPr>
                <w:rFonts w:ascii="Arial" w:cs="Arial" w:eastAsia="Arial" w:hAnsi="Arial"/>
                <w:sz w:val="13"/>
                <w:szCs w:val="13"/>
                <w:color w:val="auto"/>
              </w:rPr>
              <w:t>Net loss</w:t>
            </w: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4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(20,957)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(20,957)</w:t>
            </w:r>
          </w:p>
        </w:tc>
        <w:tc>
          <w:tcPr>
            <w:tcW w:w="0" w:type="dxa"/>
            <w:vAlign w:val="bottom"/>
          </w:tcPr>
          <w:p>
            <w:pPr>
              <w:spacing w:after="0"/>
              <w:rPr>
                <w:sz w:val="1"/>
                <w:szCs w:val="1"/>
                <w:color w:val="auto"/>
              </w:rPr>
            </w:pPr>
          </w:p>
        </w:tc>
      </w:tr>
      <w:tr>
        <w:trPr>
          <w:trHeight w:val="175"/>
        </w:trPr>
        <w:tc>
          <w:tcPr>
            <w:tcW w:w="1880" w:type="dxa"/>
            <w:vAlign w:val="bottom"/>
            <w:tcBorders>
              <w:top w:val="single" w:sz="8" w:color="CCEEFF"/>
            </w:tcBorders>
            <w:shd w:val="clear" w:color="auto" w:fill="CCEEFF"/>
          </w:tcPr>
          <w:p>
            <w:pPr>
              <w:ind w:left="20"/>
              <w:spacing w:after="0" w:line="147" w:lineRule="exact"/>
              <w:rPr>
                <w:sz w:val="20"/>
                <w:szCs w:val="20"/>
                <w:color w:val="auto"/>
              </w:rPr>
            </w:pPr>
            <w:r>
              <w:rPr>
                <w:rFonts w:ascii="Arial" w:cs="Arial" w:eastAsia="Arial" w:hAnsi="Arial"/>
                <w:sz w:val="13"/>
                <w:szCs w:val="13"/>
                <w:color w:val="auto"/>
              </w:rPr>
              <w:t>Balance — March 31, 2021</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right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161,449,205</w:t>
            </w:r>
          </w:p>
        </w:tc>
        <w:tc>
          <w:tcPr>
            <w:tcW w:w="10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482,071</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(230,332)</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251,755</w:t>
            </w:r>
          </w:p>
        </w:tc>
        <w:tc>
          <w:tcPr>
            <w:tcW w:w="0" w:type="dxa"/>
            <w:vAlign w:val="bottom"/>
          </w:tcPr>
          <w:p>
            <w:pPr>
              <w:spacing w:after="0"/>
              <w:rPr>
                <w:sz w:val="1"/>
                <w:szCs w:val="1"/>
                <w:color w:val="auto"/>
              </w:rPr>
            </w:pPr>
          </w:p>
        </w:tc>
      </w:tr>
      <w:tr>
        <w:trPr>
          <w:trHeight w:val="121"/>
        </w:trPr>
        <w:tc>
          <w:tcPr>
            <w:tcW w:w="1880" w:type="dxa"/>
            <w:vAlign w:val="bottom"/>
          </w:tcPr>
          <w:p>
            <w:pPr>
              <w:ind w:left="180"/>
              <w:spacing w:after="0" w:line="122" w:lineRule="exact"/>
              <w:rPr>
                <w:sz w:val="20"/>
                <w:szCs w:val="20"/>
                <w:color w:val="auto"/>
              </w:rPr>
            </w:pPr>
            <w:r>
              <w:rPr>
                <w:rFonts w:ascii="Arial" w:cs="Arial" w:eastAsia="Arial" w:hAnsi="Arial"/>
                <w:sz w:val="13"/>
                <w:szCs w:val="13"/>
                <w:color w:val="auto"/>
                <w:w w:val="91"/>
              </w:rPr>
              <w:t>Vesting of early exercised stock</w:t>
            </w: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98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tcPr>
          <w:p>
            <w:pPr>
              <w:spacing w:after="0"/>
              <w:rPr>
                <w:sz w:val="10"/>
                <w:szCs w:val="10"/>
                <w:color w:val="auto"/>
              </w:rPr>
            </w:pPr>
          </w:p>
        </w:tc>
        <w:tc>
          <w:tcPr>
            <w:tcW w:w="3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104</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vMerge w:val="restart"/>
          </w:tcPr>
          <w:p>
            <w:pPr>
              <w:ind w:left="7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104</w:t>
            </w:r>
          </w:p>
        </w:tc>
        <w:tc>
          <w:tcPr>
            <w:tcW w:w="0" w:type="dxa"/>
            <w:vAlign w:val="bottom"/>
          </w:tcPr>
          <w:p>
            <w:pPr>
              <w:spacing w:after="0"/>
              <w:rPr>
                <w:sz w:val="1"/>
                <w:szCs w:val="1"/>
                <w:color w:val="auto"/>
              </w:rPr>
            </w:pPr>
          </w:p>
        </w:tc>
      </w:tr>
      <w:tr>
        <w:trPr>
          <w:trHeight w:val="168"/>
        </w:trPr>
        <w:tc>
          <w:tcPr>
            <w:tcW w:w="1880" w:type="dxa"/>
            <w:vAlign w:val="bottom"/>
          </w:tcPr>
          <w:p>
            <w:pPr>
              <w:ind w:left="360"/>
              <w:spacing w:after="0"/>
              <w:rPr>
                <w:sz w:val="20"/>
                <w:szCs w:val="20"/>
                <w:color w:val="auto"/>
              </w:rPr>
            </w:pPr>
            <w:r>
              <w:rPr>
                <w:rFonts w:ascii="Arial" w:cs="Arial" w:eastAsia="Arial" w:hAnsi="Arial"/>
                <w:sz w:val="13"/>
                <w:szCs w:val="13"/>
                <w:color w:val="auto"/>
              </w:rPr>
              <w:t>options</w:t>
            </w:r>
          </w:p>
        </w:tc>
        <w:tc>
          <w:tcPr>
            <w:tcW w:w="11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Borders>
              <w:right w:val="single" w:sz="8" w:color="auto"/>
            </w:tcBorders>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880" w:type="dxa"/>
            <w:vAlign w:val="bottom"/>
            <w:shd w:val="clear" w:color="auto" w:fill="CCEEFF"/>
          </w:tcPr>
          <w:p>
            <w:pPr>
              <w:ind w:left="180"/>
              <w:spacing w:after="0" w:line="129" w:lineRule="exact"/>
              <w:rPr>
                <w:sz w:val="20"/>
                <w:szCs w:val="20"/>
                <w:color w:val="auto"/>
              </w:rPr>
            </w:pPr>
            <w:r>
              <w:rPr>
                <w:rFonts w:ascii="Arial" w:cs="Arial" w:eastAsia="Arial" w:hAnsi="Arial"/>
                <w:sz w:val="13"/>
                <w:szCs w:val="13"/>
                <w:color w:val="auto"/>
              </w:rPr>
              <w:t>Stock-based compensation</w:t>
            </w:r>
          </w:p>
        </w:tc>
        <w:tc>
          <w:tcPr>
            <w:tcW w:w="11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98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1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spacing w:after="0"/>
              <w:rPr>
                <w:sz w:val="11"/>
                <w:szCs w:val="11"/>
                <w:color w:val="auto"/>
              </w:rPr>
            </w:pPr>
          </w:p>
        </w:tc>
        <w:tc>
          <w:tcPr>
            <w:tcW w:w="3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6,154</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6,154</w:t>
            </w:r>
          </w:p>
        </w:tc>
        <w:tc>
          <w:tcPr>
            <w:tcW w:w="0" w:type="dxa"/>
            <w:vAlign w:val="bottom"/>
          </w:tcPr>
          <w:p>
            <w:pPr>
              <w:spacing w:after="0"/>
              <w:rPr>
                <w:sz w:val="1"/>
                <w:szCs w:val="1"/>
                <w:color w:val="auto"/>
              </w:rPr>
            </w:pPr>
          </w:p>
        </w:tc>
      </w:tr>
      <w:tr>
        <w:trPr>
          <w:trHeight w:val="175"/>
        </w:trPr>
        <w:tc>
          <w:tcPr>
            <w:tcW w:w="1880" w:type="dxa"/>
            <w:vAlign w:val="bottom"/>
            <w:shd w:val="clear" w:color="auto" w:fill="CCEEFF"/>
          </w:tcPr>
          <w:p>
            <w:pPr>
              <w:ind w:left="360"/>
              <w:spacing w:after="0"/>
              <w:rPr>
                <w:sz w:val="20"/>
                <w:szCs w:val="20"/>
                <w:color w:val="auto"/>
              </w:rPr>
            </w:pPr>
            <w:r>
              <w:rPr>
                <w:rFonts w:ascii="Arial" w:cs="Arial" w:eastAsia="Arial" w:hAnsi="Arial"/>
                <w:sz w:val="13"/>
                <w:szCs w:val="13"/>
                <w:color w:val="auto"/>
              </w:rPr>
              <w:t>expense</w:t>
            </w:r>
          </w:p>
        </w:tc>
        <w:tc>
          <w:tcPr>
            <w:tcW w:w="116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tcBorders>
              <w:right w:val="single" w:sz="8" w:color="auto"/>
            </w:tcBorders>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gridSpan w:val="2"/>
            <w:vMerge w:val="continue"/>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2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880" w:type="dxa"/>
            <w:vAlign w:val="bottom"/>
          </w:tcPr>
          <w:p>
            <w:pPr>
              <w:ind w:left="180"/>
              <w:spacing w:after="0"/>
              <w:rPr>
                <w:sz w:val="20"/>
                <w:szCs w:val="20"/>
                <w:color w:val="auto"/>
              </w:rPr>
            </w:pPr>
            <w:r>
              <w:rPr>
                <w:rFonts w:ascii="Arial" w:cs="Arial" w:eastAsia="Arial" w:hAnsi="Arial"/>
                <w:sz w:val="13"/>
                <w:szCs w:val="13"/>
                <w:color w:val="auto"/>
              </w:rPr>
              <w:t>Net loss</w:t>
            </w: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4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(32,011)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(32,011)</w:t>
            </w:r>
          </w:p>
        </w:tc>
        <w:tc>
          <w:tcPr>
            <w:tcW w:w="0" w:type="dxa"/>
            <w:vAlign w:val="bottom"/>
          </w:tcPr>
          <w:p>
            <w:pPr>
              <w:spacing w:after="0"/>
              <w:rPr>
                <w:sz w:val="1"/>
                <w:szCs w:val="1"/>
                <w:color w:val="auto"/>
              </w:rPr>
            </w:pPr>
          </w:p>
        </w:tc>
      </w:tr>
      <w:tr>
        <w:trPr>
          <w:trHeight w:val="194"/>
        </w:trPr>
        <w:tc>
          <w:tcPr>
            <w:tcW w:w="1880" w:type="dxa"/>
            <w:vAlign w:val="bottom"/>
            <w:tcBorders>
              <w:top w:val="single" w:sz="8" w:color="CCEEFF"/>
              <w:bottom w:val="single" w:sz="8" w:color="CCEEFF"/>
            </w:tcBorders>
            <w:shd w:val="clear" w:color="auto" w:fill="CCEEFF"/>
          </w:tcPr>
          <w:p>
            <w:pPr>
              <w:ind w:left="20"/>
              <w:spacing w:after="0" w:line="147" w:lineRule="exact"/>
              <w:rPr>
                <w:sz w:val="20"/>
                <w:szCs w:val="20"/>
                <w:color w:val="auto"/>
              </w:rPr>
            </w:pPr>
            <w:r>
              <w:rPr>
                <w:rFonts w:ascii="Arial" w:cs="Arial" w:eastAsia="Arial" w:hAnsi="Arial"/>
                <w:sz w:val="13"/>
                <w:szCs w:val="13"/>
                <w:color w:val="auto"/>
              </w:rPr>
              <w:t>Balance — June 30, 2021</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bottom w:val="single" w:sz="8" w:color="CCEEFF"/>
              <w:right w:val="single" w:sz="8" w:color="auto"/>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161,449,205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ind w:right="677"/>
              <w:spacing w:after="0"/>
              <w:rPr>
                <w:sz w:val="20"/>
                <w:szCs w:val="20"/>
                <w:color w:val="auto"/>
              </w:rPr>
            </w:pPr>
            <w:r>
              <w:rPr>
                <w:rFonts w:ascii="Arial" w:cs="Arial" w:eastAsia="Arial" w:hAnsi="Arial"/>
                <w:sz w:val="13"/>
                <w:szCs w:val="13"/>
                <w:color w:val="auto"/>
                <w:w w:val="82"/>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488,329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bottom w:val="single" w:sz="8" w:color="auto"/>
            </w:tcBorders>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(262,343)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226,002</w:t>
            </w:r>
          </w:p>
        </w:tc>
        <w:tc>
          <w:tcPr>
            <w:tcW w:w="0" w:type="dxa"/>
            <w:vAlign w:val="bottom"/>
          </w:tcPr>
          <w:p>
            <w:pPr>
              <w:spacing w:after="0"/>
              <w:rPr>
                <w:sz w:val="1"/>
                <w:szCs w:val="1"/>
                <w:color w:val="auto"/>
              </w:rPr>
            </w:pPr>
          </w:p>
        </w:tc>
      </w:tr>
      <w:tr>
        <w:trPr>
          <w:trHeight w:val="20"/>
        </w:trPr>
        <w:tc>
          <w:tcPr>
            <w:tcW w:w="18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right="240" w:firstLine="8"/>
        <w:spacing w:after="0" w:line="255"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shares of the Company’s common and redeemable convertible preferred stock, prior to the Merger (as defined in Note 1), have been retroactively restated as shares reflecting the exchange ratio of approximately 0.703 established in the Merger as described in Note 1.</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OUSTER,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REDEEMABLE CONVERTIBLE PREFERRED STOCK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 EQUITY (DEFICIT)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880" w:type="dxa"/>
            <w:vAlign w:val="bottom"/>
          </w:tcPr>
          <w:p>
            <w:pPr>
              <w:spacing w:after="0"/>
              <w:rPr>
                <w:sz w:val="16"/>
                <w:szCs w:val="16"/>
                <w:color w:val="auto"/>
              </w:rPr>
            </w:pPr>
          </w:p>
        </w:tc>
        <w:tc>
          <w:tcPr>
            <w:tcW w:w="2340" w:type="dxa"/>
            <w:vAlign w:val="bottom"/>
            <w:tcBorders>
              <w:right w:val="single" w:sz="8" w:color="auto"/>
            </w:tcBorders>
            <w:gridSpan w:val="5"/>
          </w:tcPr>
          <w:p>
            <w:pPr>
              <w:ind w:left="460"/>
              <w:spacing w:after="0"/>
              <w:rPr>
                <w:sz w:val="20"/>
                <w:szCs w:val="20"/>
                <w:color w:val="auto"/>
              </w:rPr>
            </w:pPr>
            <w:r>
              <w:rPr>
                <w:rFonts w:ascii="Arial" w:cs="Arial" w:eastAsia="Arial" w:hAnsi="Arial"/>
                <w:sz w:val="13"/>
                <w:szCs w:val="13"/>
                <w:b w:val="1"/>
                <w:bCs w:val="1"/>
                <w:color w:val="auto"/>
              </w:rPr>
              <w:t>Redeemable Convertible</w:t>
            </w:r>
          </w:p>
        </w:tc>
        <w:tc>
          <w:tcPr>
            <w:tcW w:w="80" w:type="dxa"/>
            <w:vAlign w:val="bottom"/>
          </w:tcPr>
          <w:p>
            <w:pPr>
              <w:spacing w:after="0"/>
              <w:rPr>
                <w:sz w:val="16"/>
                <w:szCs w:val="16"/>
                <w:color w:val="auto"/>
              </w:rPr>
            </w:pPr>
          </w:p>
        </w:tc>
        <w:tc>
          <w:tcPr>
            <w:tcW w:w="2000" w:type="dxa"/>
            <w:vAlign w:val="bottom"/>
            <w:gridSpan w:val="3"/>
            <w:vMerge w:val="restart"/>
          </w:tcPr>
          <w:p>
            <w:pPr>
              <w:jc w:val="right"/>
              <w:ind w:right="397"/>
              <w:spacing w:after="0"/>
              <w:rPr>
                <w:sz w:val="20"/>
                <w:szCs w:val="20"/>
                <w:color w:val="auto"/>
              </w:rPr>
            </w:pPr>
            <w:r>
              <w:rPr>
                <w:rFonts w:ascii="Arial" w:cs="Arial" w:eastAsia="Arial" w:hAnsi="Arial"/>
                <w:sz w:val="13"/>
                <w:szCs w:val="13"/>
                <w:b w:val="1"/>
                <w:bCs w:val="1"/>
                <w:color w:val="auto"/>
              </w:rPr>
              <w:t>Common Stock</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1"/>
              </w:rPr>
              <w:t>Additional</w:t>
            </w:r>
          </w:p>
        </w:tc>
        <w:tc>
          <w:tcPr>
            <w:tcW w:w="140" w:type="dxa"/>
            <w:vAlign w:val="bottom"/>
          </w:tcPr>
          <w:p>
            <w:pPr>
              <w:spacing w:after="0"/>
              <w:rPr>
                <w:sz w:val="16"/>
                <w:szCs w:val="16"/>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2"/>
              </w:rPr>
              <w:t>Notes</w:t>
            </w: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vMerge w:val="restart"/>
          </w:tcPr>
          <w:p>
            <w:pPr>
              <w:jc w:val="center"/>
              <w:ind w:right="59"/>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21"/>
        </w:trPr>
        <w:tc>
          <w:tcPr>
            <w:tcW w:w="1880" w:type="dxa"/>
            <w:vAlign w:val="bottom"/>
          </w:tcPr>
          <w:p>
            <w:pPr>
              <w:spacing w:after="0"/>
              <w:rPr>
                <w:sz w:val="10"/>
                <w:szCs w:val="10"/>
                <w:color w:val="auto"/>
              </w:rPr>
            </w:pPr>
          </w:p>
        </w:tc>
        <w:tc>
          <w:tcPr>
            <w:tcW w:w="2340" w:type="dxa"/>
            <w:vAlign w:val="bottom"/>
            <w:tcBorders>
              <w:right w:val="single" w:sz="8" w:color="auto"/>
            </w:tcBorders>
            <w:gridSpan w:val="5"/>
          </w:tcPr>
          <w:p>
            <w:pPr>
              <w:ind w:left="700"/>
              <w:spacing w:after="0" w:line="122" w:lineRule="exact"/>
              <w:rPr>
                <w:sz w:val="20"/>
                <w:szCs w:val="20"/>
                <w:color w:val="auto"/>
              </w:rPr>
            </w:pPr>
            <w:r>
              <w:rPr>
                <w:rFonts w:ascii="Arial" w:cs="Arial" w:eastAsia="Arial" w:hAnsi="Arial"/>
                <w:sz w:val="13"/>
                <w:szCs w:val="13"/>
                <w:b w:val="1"/>
                <w:bCs w:val="1"/>
                <w:color w:val="auto"/>
              </w:rPr>
              <w:t>Preferred Stock</w:t>
            </w:r>
          </w:p>
        </w:tc>
        <w:tc>
          <w:tcPr>
            <w:tcW w:w="80" w:type="dxa"/>
            <w:vAlign w:val="bottom"/>
          </w:tcPr>
          <w:p>
            <w:pPr>
              <w:spacing w:after="0"/>
              <w:rPr>
                <w:sz w:val="10"/>
                <w:szCs w:val="10"/>
                <w:color w:val="auto"/>
              </w:rPr>
            </w:pPr>
          </w:p>
        </w:tc>
        <w:tc>
          <w:tcPr>
            <w:tcW w:w="2000" w:type="dxa"/>
            <w:vAlign w:val="bottom"/>
            <w:gridSpan w:val="3"/>
            <w:vMerge w:val="continue"/>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84"/>
              </w:rPr>
              <w:t>receivable</w:t>
            </w: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88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980" w:type="dxa"/>
            <w:vAlign w:val="bottom"/>
            <w:gridSpan w:val="2"/>
          </w:tcPr>
          <w:p>
            <w:pPr>
              <w:jc w:val="center"/>
              <w:ind w:right="260"/>
              <w:spacing w:after="0" w:line="54" w:lineRule="exact"/>
              <w:rPr>
                <w:sz w:val="20"/>
                <w:szCs w:val="20"/>
                <w:color w:val="auto"/>
              </w:rPr>
            </w:pPr>
            <w:r>
              <w:rPr>
                <w:rFonts w:ascii="Arial" w:cs="Arial" w:eastAsia="Arial" w:hAnsi="Arial"/>
                <w:sz w:val="6"/>
                <w:szCs w:val="6"/>
                <w:b w:val="1"/>
                <w:bCs w:val="1"/>
                <w:color w:val="auto"/>
              </w:rPr>
              <w:t>Paid-in-</w:t>
            </w:r>
          </w:p>
        </w:tc>
        <w:tc>
          <w:tcPr>
            <w:tcW w:w="140" w:type="dxa"/>
            <w:vAlign w:val="bottom"/>
          </w:tcPr>
          <w:p>
            <w:pPr>
              <w:spacing w:after="0"/>
              <w:rPr>
                <w:sz w:val="4"/>
                <w:szCs w:val="4"/>
                <w:color w:val="auto"/>
              </w:rPr>
            </w:pPr>
          </w:p>
        </w:tc>
        <w:tc>
          <w:tcPr>
            <w:tcW w:w="1040" w:type="dxa"/>
            <w:vAlign w:val="bottom"/>
            <w:gridSpan w:val="2"/>
          </w:tcPr>
          <w:p>
            <w:pPr>
              <w:jc w:val="center"/>
              <w:ind w:right="220"/>
              <w:spacing w:after="0" w:line="54" w:lineRule="exact"/>
              <w:rPr>
                <w:sz w:val="20"/>
                <w:szCs w:val="20"/>
                <w:color w:val="auto"/>
              </w:rPr>
            </w:pPr>
            <w:r>
              <w:rPr>
                <w:rFonts w:ascii="Arial" w:cs="Arial" w:eastAsia="Arial" w:hAnsi="Arial"/>
                <w:sz w:val="6"/>
                <w:szCs w:val="6"/>
                <w:b w:val="1"/>
                <w:bCs w:val="1"/>
                <w:color w:val="auto"/>
              </w:rPr>
              <w:t>from</w:t>
            </w:r>
          </w:p>
        </w:tc>
        <w:tc>
          <w:tcPr>
            <w:tcW w:w="140" w:type="dxa"/>
            <w:vAlign w:val="bottom"/>
          </w:tcPr>
          <w:p>
            <w:pPr>
              <w:spacing w:after="0"/>
              <w:rPr>
                <w:sz w:val="4"/>
                <w:szCs w:val="4"/>
                <w:color w:val="auto"/>
              </w:rPr>
            </w:pPr>
          </w:p>
        </w:tc>
        <w:tc>
          <w:tcPr>
            <w:tcW w:w="1040" w:type="dxa"/>
            <w:vAlign w:val="bottom"/>
            <w:gridSpan w:val="2"/>
          </w:tcPr>
          <w:p>
            <w:pPr>
              <w:ind w:left="40"/>
              <w:spacing w:after="0" w:line="54" w:lineRule="exact"/>
              <w:rPr>
                <w:sz w:val="20"/>
                <w:szCs w:val="20"/>
                <w:color w:val="auto"/>
              </w:rPr>
            </w:pPr>
            <w:r>
              <w:rPr>
                <w:rFonts w:ascii="Arial" w:cs="Arial" w:eastAsia="Arial" w:hAnsi="Arial"/>
                <w:sz w:val="6"/>
                <w:szCs w:val="6"/>
                <w:b w:val="1"/>
                <w:bCs w:val="1"/>
                <w:color w:val="auto"/>
              </w:rPr>
              <w:t>Accumulated</w:t>
            </w:r>
          </w:p>
        </w:tc>
        <w:tc>
          <w:tcPr>
            <w:tcW w:w="140" w:type="dxa"/>
            <w:vAlign w:val="bottom"/>
          </w:tcPr>
          <w:p>
            <w:pPr>
              <w:spacing w:after="0"/>
              <w:rPr>
                <w:sz w:val="4"/>
                <w:szCs w:val="4"/>
                <w:color w:val="auto"/>
              </w:rPr>
            </w:pPr>
          </w:p>
        </w:tc>
        <w:tc>
          <w:tcPr>
            <w:tcW w:w="960" w:type="dxa"/>
            <w:vAlign w:val="bottom"/>
          </w:tcPr>
          <w:p>
            <w:pPr>
              <w:jc w:val="center"/>
              <w:ind w:right="79"/>
              <w:spacing w:after="0" w:line="54" w:lineRule="exact"/>
              <w:rPr>
                <w:sz w:val="20"/>
                <w:szCs w:val="20"/>
                <w:color w:val="auto"/>
              </w:rPr>
            </w:pPr>
            <w:r>
              <w:rPr>
                <w:rFonts w:ascii="Arial" w:cs="Arial" w:eastAsia="Arial" w:hAnsi="Arial"/>
                <w:sz w:val="6"/>
                <w:szCs w:val="6"/>
                <w:b w:val="1"/>
                <w:bCs w:val="1"/>
                <w:color w:val="auto"/>
              </w:rPr>
              <w:t>Stockholders’</w:t>
            </w:r>
          </w:p>
        </w:tc>
        <w:tc>
          <w:tcPr>
            <w:tcW w:w="0" w:type="dxa"/>
            <w:vAlign w:val="bottom"/>
          </w:tcPr>
          <w:p>
            <w:pPr>
              <w:spacing w:after="0"/>
              <w:rPr>
                <w:sz w:val="1"/>
                <w:szCs w:val="1"/>
                <w:color w:val="auto"/>
              </w:rPr>
            </w:pPr>
          </w:p>
        </w:tc>
      </w:tr>
      <w:tr>
        <w:trPr>
          <w:trHeight w:val="183"/>
        </w:trPr>
        <w:tc>
          <w:tcPr>
            <w:tcW w:w="1880" w:type="dxa"/>
            <w:vAlign w:val="bottom"/>
          </w:tcPr>
          <w:p>
            <w:pPr>
              <w:spacing w:after="0"/>
              <w:rPr>
                <w:sz w:val="15"/>
                <w:szCs w:val="15"/>
                <w:color w:val="auto"/>
              </w:rPr>
            </w:pPr>
          </w:p>
        </w:tc>
        <w:tc>
          <w:tcPr>
            <w:tcW w:w="1160" w:type="dxa"/>
            <w:vAlign w:val="bottom"/>
            <w:gridSpan w:val="2"/>
          </w:tcPr>
          <w:p>
            <w:pPr>
              <w:ind w:left="300"/>
              <w:spacing w:after="0" w:line="183" w:lineRule="exact"/>
              <w:rPr>
                <w:sz w:val="20"/>
                <w:szCs w:val="20"/>
                <w:color w:val="auto"/>
              </w:rPr>
            </w:pPr>
            <w:r>
              <w:rPr>
                <w:rFonts w:ascii="Arial" w:cs="Arial" w:eastAsia="Arial" w:hAnsi="Arial"/>
                <w:sz w:val="13"/>
                <w:szCs w:val="13"/>
                <w:b w:val="1"/>
                <w:bCs w:val="1"/>
                <w:color w:val="auto"/>
              </w:rPr>
              <w:t xml:space="preserve">Shares </w:t>
            </w:r>
            <w:r>
              <w:rPr>
                <w:rFonts w:ascii="Arial" w:cs="Arial" w:eastAsia="Arial" w:hAnsi="Arial"/>
                <w:sz w:val="16"/>
                <w:szCs w:val="16"/>
                <w:b w:val="1"/>
                <w:bCs w:val="1"/>
                <w:color w:val="auto"/>
                <w:vertAlign w:val="superscript"/>
              </w:rPr>
              <w:t>(1)</w:t>
            </w:r>
          </w:p>
        </w:tc>
        <w:tc>
          <w:tcPr>
            <w:tcW w:w="200" w:type="dxa"/>
            <w:vAlign w:val="bottom"/>
          </w:tcPr>
          <w:p>
            <w:pPr>
              <w:spacing w:after="0"/>
              <w:rPr>
                <w:sz w:val="15"/>
                <w:szCs w:val="15"/>
                <w:color w:val="auto"/>
              </w:rPr>
            </w:pPr>
          </w:p>
        </w:tc>
        <w:tc>
          <w:tcPr>
            <w:tcW w:w="980" w:type="dxa"/>
            <w:vAlign w:val="bottom"/>
            <w:tcBorders>
              <w:right w:val="single" w:sz="8" w:color="auto"/>
            </w:tcBorders>
            <w:gridSpan w:val="2"/>
          </w:tcPr>
          <w:p>
            <w:pPr>
              <w:ind w:left="120"/>
              <w:spacing w:after="0"/>
              <w:rPr>
                <w:sz w:val="20"/>
                <w:szCs w:val="20"/>
                <w:color w:val="auto"/>
              </w:rPr>
            </w:pPr>
            <w:r>
              <w:rPr>
                <w:rFonts w:ascii="Arial" w:cs="Arial" w:eastAsia="Arial" w:hAnsi="Arial"/>
                <w:sz w:val="13"/>
                <w:szCs w:val="13"/>
                <w:b w:val="1"/>
                <w:bCs w:val="1"/>
                <w:color w:val="auto"/>
              </w:rPr>
              <w:t>Amount</w:t>
            </w:r>
          </w:p>
        </w:tc>
        <w:tc>
          <w:tcPr>
            <w:tcW w:w="80" w:type="dxa"/>
            <w:vAlign w:val="bottom"/>
          </w:tcPr>
          <w:p>
            <w:pPr>
              <w:spacing w:after="0"/>
              <w:rPr>
                <w:sz w:val="15"/>
                <w:szCs w:val="15"/>
                <w:color w:val="auto"/>
              </w:rPr>
            </w:pPr>
          </w:p>
        </w:tc>
        <w:tc>
          <w:tcPr>
            <w:tcW w:w="1180" w:type="dxa"/>
            <w:vAlign w:val="bottom"/>
            <w:gridSpan w:val="2"/>
          </w:tcPr>
          <w:p>
            <w:pPr>
              <w:ind w:left="300"/>
              <w:spacing w:after="0" w:line="183" w:lineRule="exact"/>
              <w:rPr>
                <w:sz w:val="20"/>
                <w:szCs w:val="20"/>
                <w:color w:val="auto"/>
              </w:rPr>
            </w:pPr>
            <w:r>
              <w:rPr>
                <w:rFonts w:ascii="Arial" w:cs="Arial" w:eastAsia="Arial" w:hAnsi="Arial"/>
                <w:sz w:val="13"/>
                <w:szCs w:val="13"/>
                <w:b w:val="1"/>
                <w:bCs w:val="1"/>
                <w:color w:val="auto"/>
              </w:rPr>
              <w:t xml:space="preserve">Shares </w:t>
            </w:r>
            <w:r>
              <w:rPr>
                <w:rFonts w:ascii="Arial" w:cs="Arial" w:eastAsia="Arial" w:hAnsi="Arial"/>
                <w:sz w:val="16"/>
                <w:szCs w:val="16"/>
                <w:b w:val="1"/>
                <w:bCs w:val="1"/>
                <w:color w:val="auto"/>
                <w:vertAlign w:val="superscript"/>
              </w:rPr>
              <w:t>(1)</w:t>
            </w:r>
          </w:p>
        </w:tc>
        <w:tc>
          <w:tcPr>
            <w:tcW w:w="820" w:type="dxa"/>
            <w:vAlign w:val="bottom"/>
          </w:tcPr>
          <w:p>
            <w:pPr>
              <w:jc w:val="right"/>
              <w:ind w:right="17"/>
              <w:spacing w:after="0"/>
              <w:rPr>
                <w:sz w:val="20"/>
                <w:szCs w:val="20"/>
                <w:color w:val="auto"/>
              </w:rPr>
            </w:pPr>
            <w:r>
              <w:rPr>
                <w:rFonts w:ascii="Arial" w:cs="Arial" w:eastAsia="Arial" w:hAnsi="Arial"/>
                <w:sz w:val="13"/>
                <w:szCs w:val="13"/>
                <w:b w:val="1"/>
                <w:bCs w:val="1"/>
                <w:color w:val="auto"/>
              </w:rPr>
              <w:t>Amount</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Capital</w:t>
            </w:r>
          </w:p>
        </w:tc>
        <w:tc>
          <w:tcPr>
            <w:tcW w:w="140" w:type="dxa"/>
            <w:vAlign w:val="bottom"/>
          </w:tcPr>
          <w:p>
            <w:pPr>
              <w:spacing w:after="0"/>
              <w:rPr>
                <w:sz w:val="15"/>
                <w:szCs w:val="15"/>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3"/>
              </w:rPr>
              <w:t>stockholders</w:t>
            </w:r>
          </w:p>
        </w:tc>
        <w:tc>
          <w:tcPr>
            <w:tcW w:w="140" w:type="dxa"/>
            <w:vAlign w:val="bottom"/>
          </w:tcPr>
          <w:p>
            <w:pPr>
              <w:spacing w:after="0"/>
              <w:rPr>
                <w:sz w:val="15"/>
                <w:szCs w:val="15"/>
                <w:color w:val="auto"/>
              </w:rPr>
            </w:pPr>
          </w:p>
        </w:tc>
        <w:tc>
          <w:tcPr>
            <w:tcW w:w="1040" w:type="dxa"/>
            <w:vAlign w:val="bottom"/>
            <w:gridSpan w:val="2"/>
          </w:tcPr>
          <w:p>
            <w:pPr>
              <w:ind w:left="220"/>
              <w:spacing w:after="0"/>
              <w:rPr>
                <w:sz w:val="20"/>
                <w:szCs w:val="20"/>
                <w:color w:val="auto"/>
              </w:rPr>
            </w:pPr>
            <w:r>
              <w:rPr>
                <w:rFonts w:ascii="Arial" w:cs="Arial" w:eastAsia="Arial" w:hAnsi="Arial"/>
                <w:sz w:val="13"/>
                <w:szCs w:val="13"/>
                <w:b w:val="1"/>
                <w:bCs w:val="1"/>
                <w:color w:val="auto"/>
              </w:rPr>
              <w:t>Deficit</w:t>
            </w:r>
          </w:p>
        </w:tc>
        <w:tc>
          <w:tcPr>
            <w:tcW w:w="140" w:type="dxa"/>
            <w:vAlign w:val="bottom"/>
          </w:tcPr>
          <w:p>
            <w:pPr>
              <w:spacing w:after="0"/>
              <w:rPr>
                <w:sz w:val="15"/>
                <w:szCs w:val="15"/>
                <w:color w:val="auto"/>
              </w:rPr>
            </w:pPr>
          </w:p>
        </w:tc>
        <w:tc>
          <w:tcPr>
            <w:tcW w:w="960" w:type="dxa"/>
            <w:vAlign w:val="bottom"/>
          </w:tcPr>
          <w:p>
            <w:pPr>
              <w:jc w:val="center"/>
              <w:ind w:right="59"/>
              <w:spacing w:after="0"/>
              <w:rPr>
                <w:sz w:val="20"/>
                <w:szCs w:val="20"/>
                <w:color w:val="auto"/>
              </w:rPr>
            </w:pPr>
            <w:r>
              <w:rPr>
                <w:rFonts w:ascii="Arial" w:cs="Arial" w:eastAsia="Arial" w:hAnsi="Arial"/>
                <w:sz w:val="13"/>
                <w:szCs w:val="13"/>
                <w:b w:val="1"/>
                <w:bCs w:val="1"/>
                <w:color w:val="auto"/>
                <w:w w:val="90"/>
              </w:rPr>
              <w:t>Deficit</w:t>
            </w:r>
          </w:p>
        </w:tc>
        <w:tc>
          <w:tcPr>
            <w:tcW w:w="0" w:type="dxa"/>
            <w:vAlign w:val="bottom"/>
          </w:tcPr>
          <w:p>
            <w:pPr>
              <w:spacing w:after="0"/>
              <w:rPr>
                <w:sz w:val="1"/>
                <w:szCs w:val="1"/>
                <w:color w:val="auto"/>
              </w:rPr>
            </w:pPr>
          </w:p>
        </w:tc>
      </w:tr>
      <w:tr>
        <w:trPr>
          <w:trHeight w:val="169"/>
        </w:trPr>
        <w:tc>
          <w:tcPr>
            <w:tcW w:w="1880" w:type="dxa"/>
            <w:vAlign w:val="bottom"/>
            <w:tcBorders>
              <w:top w:val="single" w:sz="8" w:color="CCEEFF"/>
            </w:tcBorders>
            <w:shd w:val="clear" w:color="auto" w:fill="CCEEFF"/>
          </w:tcPr>
          <w:p>
            <w:pPr>
              <w:ind w:left="20"/>
              <w:spacing w:after="0" w:line="141" w:lineRule="exact"/>
              <w:rPr>
                <w:sz w:val="20"/>
                <w:szCs w:val="20"/>
                <w:color w:val="auto"/>
              </w:rPr>
            </w:pPr>
            <w:r>
              <w:rPr>
                <w:rFonts w:ascii="Arial" w:cs="Arial" w:eastAsia="Arial" w:hAnsi="Arial"/>
                <w:sz w:val="13"/>
                <w:szCs w:val="13"/>
                <w:color w:val="auto"/>
              </w:rPr>
              <w:t>Balance — December 31, 2019</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4,384,348</w:t>
            </w:r>
          </w:p>
        </w:tc>
        <w:tc>
          <w:tcPr>
            <w:tcW w:w="8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40,016</w:t>
            </w:r>
          </w:p>
        </w:tc>
        <w:tc>
          <w:tcPr>
            <w:tcW w:w="100" w:type="dxa"/>
            <w:vAlign w:val="bottom"/>
            <w:tcBorders>
              <w:top w:val="single" w:sz="8" w:color="CCEEFF"/>
              <w:right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7,902,407</w:t>
            </w:r>
          </w:p>
        </w:tc>
        <w:tc>
          <w:tcPr>
            <w:tcW w:w="10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ind w:right="677"/>
              <w:spacing w:after="0"/>
              <w:rPr>
                <w:sz w:val="20"/>
                <w:szCs w:val="20"/>
                <w:color w:val="auto"/>
              </w:rPr>
            </w:pPr>
            <w:r>
              <w:rPr>
                <w:rFonts w:ascii="Arial" w:cs="Arial" w:eastAsia="Arial" w:hAnsi="Arial"/>
                <w:sz w:val="13"/>
                <w:szCs w:val="13"/>
                <w:color w:val="auto"/>
                <w:w w:val="82"/>
              </w:rPr>
              <w:t>$</w:t>
            </w:r>
          </w:p>
        </w:tc>
        <w:tc>
          <w:tcPr>
            <w:tcW w:w="320" w:type="dxa"/>
            <w:vAlign w:val="bottom"/>
            <w:tcBorders>
              <w:top w:val="single" w:sz="8" w:color="auto"/>
            </w:tcBorders>
            <w:gridSpan w:val="2"/>
            <w:shd w:val="clear" w:color="auto" w:fill="CCEEFF"/>
          </w:tcPr>
          <w:p>
            <w:pPr>
              <w:ind w:left="60"/>
              <w:spacing w:after="0"/>
              <w:rPr>
                <w:sz w:val="20"/>
                <w:szCs w:val="20"/>
                <w:color w:val="auto"/>
              </w:rPr>
            </w:pPr>
            <w:r>
              <w:rPr>
                <w:rFonts w:ascii="Arial" w:cs="Arial" w:eastAsia="Arial" w:hAnsi="Arial"/>
                <w:sz w:val="13"/>
                <w:szCs w:val="13"/>
                <w:color w:val="auto"/>
              </w:rPr>
              <w:t>—</w:t>
            </w:r>
          </w:p>
        </w:tc>
        <w:tc>
          <w:tcPr>
            <w:tcW w:w="18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2,320</w:t>
            </w:r>
          </w:p>
        </w:tc>
        <w:tc>
          <w:tcPr>
            <w:tcW w:w="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tcBorders>
            <w:shd w:val="clear" w:color="auto" w:fill="CCEEFF"/>
          </w:tcPr>
          <w:p>
            <w:pPr>
              <w:jc w:val="center"/>
              <w:ind w:left="619"/>
              <w:spacing w:after="0"/>
              <w:rPr>
                <w:sz w:val="20"/>
                <w:szCs w:val="20"/>
                <w:color w:val="auto"/>
              </w:rPr>
            </w:pPr>
            <w:r>
              <w:rPr>
                <w:rFonts w:ascii="Arial" w:cs="Arial" w:eastAsia="Arial" w:hAnsi="Arial"/>
                <w:sz w:val="13"/>
                <w:szCs w:val="13"/>
                <w:color w:val="auto"/>
                <w:w w:val="94"/>
              </w:rPr>
              <w:t>(44)</w:t>
            </w:r>
          </w:p>
        </w:tc>
        <w:tc>
          <w:tcPr>
            <w:tcW w:w="1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(102,595)</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(100,319)</w:t>
            </w:r>
          </w:p>
        </w:tc>
        <w:tc>
          <w:tcPr>
            <w:tcW w:w="0" w:type="dxa"/>
            <w:vAlign w:val="bottom"/>
          </w:tcPr>
          <w:p>
            <w:pPr>
              <w:spacing w:after="0"/>
              <w:rPr>
                <w:sz w:val="1"/>
                <w:szCs w:val="1"/>
                <w:color w:val="auto"/>
              </w:rPr>
            </w:pPr>
          </w:p>
        </w:tc>
      </w:tr>
      <w:tr>
        <w:trPr>
          <w:trHeight w:val="122"/>
        </w:trPr>
        <w:tc>
          <w:tcPr>
            <w:tcW w:w="1880" w:type="dxa"/>
            <w:vAlign w:val="bottom"/>
          </w:tcPr>
          <w:p>
            <w:pPr>
              <w:ind w:left="180"/>
              <w:spacing w:after="0" w:line="122" w:lineRule="exact"/>
              <w:rPr>
                <w:sz w:val="20"/>
                <w:szCs w:val="20"/>
                <w:color w:val="auto"/>
              </w:rPr>
            </w:pPr>
            <w:r>
              <w:rPr>
                <w:rFonts w:ascii="Arial" w:cs="Arial" w:eastAsia="Arial" w:hAnsi="Arial"/>
                <w:sz w:val="13"/>
                <w:szCs w:val="13"/>
                <w:color w:val="auto"/>
                <w:w w:val="90"/>
              </w:rPr>
              <w:t>Issuance of common stock upon</w:t>
            </w:r>
          </w:p>
        </w:tc>
        <w:tc>
          <w:tcPr>
            <w:tcW w:w="11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98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1080" w:type="dxa"/>
            <w:vAlign w:val="bottom"/>
            <w:vMerge w:val="restart"/>
          </w:tcPr>
          <w:p>
            <w:pPr>
              <w:jc w:val="right"/>
              <w:spacing w:after="0"/>
              <w:rPr>
                <w:sz w:val="20"/>
                <w:szCs w:val="20"/>
                <w:color w:val="auto"/>
              </w:rPr>
            </w:pPr>
            <w:r>
              <w:rPr>
                <w:rFonts w:ascii="Arial" w:cs="Arial" w:eastAsia="Arial" w:hAnsi="Arial"/>
                <w:sz w:val="13"/>
                <w:szCs w:val="13"/>
                <w:color w:val="auto"/>
              </w:rPr>
              <w:t>423</w:t>
            </w: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gridSpan w:val="2"/>
            <w:vMerge w:val="restart"/>
          </w:tcPr>
          <w:p>
            <w:pPr>
              <w:ind w:left="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vMerge w:val="restart"/>
          </w:tcPr>
          <w:p>
            <w:pPr>
              <w:jc w:val="center"/>
              <w:ind w:left="539"/>
              <w:spacing w:after="0"/>
              <w:rPr>
                <w:sz w:val="20"/>
                <w:szCs w:val="20"/>
                <w:color w:val="auto"/>
              </w:rPr>
            </w:pPr>
            <w:r>
              <w:rPr>
                <w:rFonts w:ascii="Arial" w:cs="Arial" w:eastAsia="Arial" w:hAnsi="Arial"/>
                <w:sz w:val="13"/>
                <w:szCs w:val="13"/>
                <w:color w:val="auto"/>
                <w:w w:val="91"/>
              </w:rPr>
              <w:t>—</w:t>
            </w:r>
          </w:p>
        </w:tc>
        <w:tc>
          <w:tcPr>
            <w:tcW w:w="140" w:type="dxa"/>
            <w:vAlign w:val="bottom"/>
          </w:tcPr>
          <w:p>
            <w:pPr>
              <w:spacing w:after="0"/>
              <w:rPr>
                <w:sz w:val="10"/>
                <w:szCs w:val="10"/>
                <w:color w:val="auto"/>
              </w:rPr>
            </w:pPr>
          </w:p>
        </w:tc>
        <w:tc>
          <w:tcPr>
            <w:tcW w:w="1040" w:type="dxa"/>
            <w:vAlign w:val="bottom"/>
            <w:gridSpan w:val="2"/>
            <w:vMerge w:val="restart"/>
          </w:tcPr>
          <w:p>
            <w:pPr>
              <w:ind w:left="7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68"/>
        </w:trPr>
        <w:tc>
          <w:tcPr>
            <w:tcW w:w="1880" w:type="dxa"/>
            <w:vAlign w:val="bottom"/>
          </w:tcPr>
          <w:p>
            <w:pPr>
              <w:ind w:left="360"/>
              <w:spacing w:after="0"/>
              <w:rPr>
                <w:sz w:val="20"/>
                <w:szCs w:val="20"/>
                <w:color w:val="auto"/>
              </w:rPr>
            </w:pPr>
            <w:r>
              <w:rPr>
                <w:rFonts w:ascii="Arial" w:cs="Arial" w:eastAsia="Arial" w:hAnsi="Arial"/>
                <w:sz w:val="13"/>
                <w:szCs w:val="13"/>
                <w:color w:val="auto"/>
              </w:rPr>
              <w:t>exercise of stock options</w:t>
            </w:r>
          </w:p>
        </w:tc>
        <w:tc>
          <w:tcPr>
            <w:tcW w:w="11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Borders>
              <w:right w:val="single" w:sz="8" w:color="auto"/>
            </w:tcBorders>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880" w:type="dxa"/>
            <w:vAlign w:val="bottom"/>
            <w:shd w:val="clear" w:color="auto" w:fill="CCEEFF"/>
          </w:tcPr>
          <w:p>
            <w:pPr>
              <w:ind w:left="180"/>
              <w:spacing w:after="0" w:line="129" w:lineRule="exact"/>
              <w:rPr>
                <w:sz w:val="20"/>
                <w:szCs w:val="20"/>
                <w:color w:val="auto"/>
              </w:rPr>
            </w:pPr>
            <w:r>
              <w:rPr>
                <w:rFonts w:ascii="Arial" w:cs="Arial" w:eastAsia="Arial" w:hAnsi="Arial"/>
                <w:sz w:val="13"/>
                <w:szCs w:val="13"/>
                <w:color w:val="auto"/>
              </w:rPr>
              <w:t>Reclassification of a note</w:t>
            </w:r>
          </w:p>
        </w:tc>
        <w:tc>
          <w:tcPr>
            <w:tcW w:w="11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98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1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spacing w:after="0"/>
              <w:rPr>
                <w:sz w:val="11"/>
                <w:szCs w:val="11"/>
                <w:color w:val="auto"/>
              </w:rPr>
            </w:pPr>
          </w:p>
        </w:tc>
        <w:tc>
          <w:tcPr>
            <w:tcW w:w="320" w:type="dxa"/>
            <w:vAlign w:val="bottom"/>
            <w:gridSpan w:val="2"/>
            <w:vMerge w:val="restart"/>
            <w:shd w:val="clear" w:color="auto" w:fill="CCEEFF"/>
          </w:tcPr>
          <w:p>
            <w:pPr>
              <w:ind w:left="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center"/>
              <w:ind w:left="639"/>
              <w:spacing w:after="0"/>
              <w:rPr>
                <w:sz w:val="20"/>
                <w:szCs w:val="20"/>
                <w:color w:val="auto"/>
              </w:rPr>
            </w:pPr>
            <w:r>
              <w:rPr>
                <w:rFonts w:ascii="Arial" w:cs="Arial" w:eastAsia="Arial" w:hAnsi="Arial"/>
                <w:sz w:val="13"/>
                <w:szCs w:val="13"/>
                <w:color w:val="auto"/>
                <w:w w:val="82"/>
              </w:rPr>
              <w:t>44</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44</w:t>
            </w:r>
          </w:p>
        </w:tc>
        <w:tc>
          <w:tcPr>
            <w:tcW w:w="0" w:type="dxa"/>
            <w:vAlign w:val="bottom"/>
          </w:tcPr>
          <w:p>
            <w:pPr>
              <w:spacing w:after="0"/>
              <w:rPr>
                <w:sz w:val="1"/>
                <w:szCs w:val="1"/>
                <w:color w:val="auto"/>
              </w:rPr>
            </w:pPr>
          </w:p>
        </w:tc>
      </w:tr>
      <w:tr>
        <w:trPr>
          <w:trHeight w:val="176"/>
        </w:trPr>
        <w:tc>
          <w:tcPr>
            <w:tcW w:w="1880" w:type="dxa"/>
            <w:vAlign w:val="bottom"/>
            <w:shd w:val="clear" w:color="auto" w:fill="CCEEFF"/>
          </w:tcPr>
          <w:p>
            <w:pPr>
              <w:ind w:left="360"/>
              <w:spacing w:after="0"/>
              <w:rPr>
                <w:sz w:val="20"/>
                <w:szCs w:val="20"/>
                <w:color w:val="auto"/>
              </w:rPr>
            </w:pPr>
            <w:r>
              <w:rPr>
                <w:rFonts w:ascii="Arial" w:cs="Arial" w:eastAsia="Arial" w:hAnsi="Arial"/>
                <w:sz w:val="13"/>
                <w:szCs w:val="13"/>
                <w:color w:val="auto"/>
                <w:w w:val="88"/>
              </w:rPr>
              <w:t>receivable from a stockholder</w:t>
            </w:r>
          </w:p>
        </w:tc>
        <w:tc>
          <w:tcPr>
            <w:tcW w:w="116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tcBorders>
              <w:right w:val="single" w:sz="8" w:color="auto"/>
            </w:tcBorders>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gridSpan w:val="2"/>
            <w:vMerge w:val="continue"/>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2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880" w:type="dxa"/>
            <w:vAlign w:val="bottom"/>
          </w:tcPr>
          <w:p>
            <w:pPr>
              <w:ind w:left="180"/>
              <w:spacing w:after="0" w:line="122" w:lineRule="exact"/>
              <w:rPr>
                <w:sz w:val="20"/>
                <w:szCs w:val="20"/>
                <w:color w:val="auto"/>
              </w:rPr>
            </w:pPr>
            <w:r>
              <w:rPr>
                <w:rFonts w:ascii="Arial" w:cs="Arial" w:eastAsia="Arial" w:hAnsi="Arial"/>
                <w:sz w:val="13"/>
                <w:szCs w:val="13"/>
                <w:color w:val="auto"/>
                <w:w w:val="91"/>
              </w:rPr>
              <w:t>Vesting of early exercised stock</w:t>
            </w:r>
          </w:p>
        </w:tc>
        <w:tc>
          <w:tcPr>
            <w:tcW w:w="11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98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tcPr>
          <w:p>
            <w:pPr>
              <w:spacing w:after="0"/>
              <w:rPr>
                <w:sz w:val="10"/>
                <w:szCs w:val="10"/>
                <w:color w:val="auto"/>
              </w:rPr>
            </w:pPr>
          </w:p>
        </w:tc>
        <w:tc>
          <w:tcPr>
            <w:tcW w:w="320" w:type="dxa"/>
            <w:vAlign w:val="bottom"/>
            <w:gridSpan w:val="2"/>
            <w:vMerge w:val="restart"/>
          </w:tcPr>
          <w:p>
            <w:pPr>
              <w:ind w:left="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12</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vMerge w:val="restart"/>
          </w:tcPr>
          <w:p>
            <w:pPr>
              <w:jc w:val="center"/>
              <w:ind w:left="539"/>
              <w:spacing w:after="0"/>
              <w:rPr>
                <w:sz w:val="20"/>
                <w:szCs w:val="20"/>
                <w:color w:val="auto"/>
              </w:rPr>
            </w:pPr>
            <w:r>
              <w:rPr>
                <w:rFonts w:ascii="Arial" w:cs="Arial" w:eastAsia="Arial" w:hAnsi="Arial"/>
                <w:sz w:val="13"/>
                <w:szCs w:val="13"/>
                <w:color w:val="auto"/>
                <w:w w:val="91"/>
              </w:rPr>
              <w:t>—</w:t>
            </w:r>
          </w:p>
        </w:tc>
        <w:tc>
          <w:tcPr>
            <w:tcW w:w="140" w:type="dxa"/>
            <w:vAlign w:val="bottom"/>
          </w:tcPr>
          <w:p>
            <w:pPr>
              <w:spacing w:after="0"/>
              <w:rPr>
                <w:sz w:val="10"/>
                <w:szCs w:val="10"/>
                <w:color w:val="auto"/>
              </w:rPr>
            </w:pPr>
          </w:p>
        </w:tc>
        <w:tc>
          <w:tcPr>
            <w:tcW w:w="1040" w:type="dxa"/>
            <w:vAlign w:val="bottom"/>
            <w:gridSpan w:val="2"/>
            <w:vMerge w:val="restart"/>
          </w:tcPr>
          <w:p>
            <w:pPr>
              <w:ind w:left="7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68"/>
        </w:trPr>
        <w:tc>
          <w:tcPr>
            <w:tcW w:w="1880" w:type="dxa"/>
            <w:vAlign w:val="bottom"/>
          </w:tcPr>
          <w:p>
            <w:pPr>
              <w:ind w:left="360"/>
              <w:spacing w:after="0"/>
              <w:rPr>
                <w:sz w:val="20"/>
                <w:szCs w:val="20"/>
                <w:color w:val="auto"/>
              </w:rPr>
            </w:pPr>
            <w:r>
              <w:rPr>
                <w:rFonts w:ascii="Arial" w:cs="Arial" w:eastAsia="Arial" w:hAnsi="Arial"/>
                <w:sz w:val="13"/>
                <w:szCs w:val="13"/>
                <w:color w:val="auto"/>
              </w:rPr>
              <w:t>options</w:t>
            </w:r>
          </w:p>
        </w:tc>
        <w:tc>
          <w:tcPr>
            <w:tcW w:w="11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Borders>
              <w:right w:val="single" w:sz="8" w:color="auto"/>
            </w:tcBorders>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880" w:type="dxa"/>
            <w:vAlign w:val="bottom"/>
            <w:shd w:val="clear" w:color="auto" w:fill="CCEEFF"/>
          </w:tcPr>
          <w:p>
            <w:pPr>
              <w:ind w:left="180"/>
              <w:spacing w:after="0" w:line="129" w:lineRule="exact"/>
              <w:rPr>
                <w:sz w:val="20"/>
                <w:szCs w:val="20"/>
                <w:color w:val="auto"/>
              </w:rPr>
            </w:pPr>
            <w:r>
              <w:rPr>
                <w:rFonts w:ascii="Arial" w:cs="Arial" w:eastAsia="Arial" w:hAnsi="Arial"/>
                <w:sz w:val="13"/>
                <w:szCs w:val="13"/>
                <w:color w:val="auto"/>
              </w:rPr>
              <w:t>Stock-based compensation</w:t>
            </w:r>
          </w:p>
        </w:tc>
        <w:tc>
          <w:tcPr>
            <w:tcW w:w="11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98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1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spacing w:after="0"/>
              <w:rPr>
                <w:sz w:val="11"/>
                <w:szCs w:val="11"/>
                <w:color w:val="auto"/>
              </w:rPr>
            </w:pPr>
          </w:p>
        </w:tc>
        <w:tc>
          <w:tcPr>
            <w:tcW w:w="320" w:type="dxa"/>
            <w:vAlign w:val="bottom"/>
            <w:gridSpan w:val="2"/>
            <w:vMerge w:val="restart"/>
            <w:shd w:val="clear" w:color="auto" w:fill="CCEEFF"/>
          </w:tcPr>
          <w:p>
            <w:pPr>
              <w:ind w:left="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175</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center"/>
              <w:ind w:left="539"/>
              <w:spacing w:after="0"/>
              <w:rPr>
                <w:sz w:val="20"/>
                <w:szCs w:val="20"/>
                <w:color w:val="auto"/>
              </w:rPr>
            </w:pPr>
            <w:r>
              <w:rPr>
                <w:rFonts w:ascii="Arial" w:cs="Arial" w:eastAsia="Arial" w:hAnsi="Arial"/>
                <w:sz w:val="13"/>
                <w:szCs w:val="13"/>
                <w:color w:val="auto"/>
                <w:w w:val="91"/>
              </w:rPr>
              <w:t>—</w:t>
            </w:r>
          </w:p>
        </w:tc>
        <w:tc>
          <w:tcPr>
            <w:tcW w:w="14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175</w:t>
            </w:r>
          </w:p>
        </w:tc>
        <w:tc>
          <w:tcPr>
            <w:tcW w:w="0" w:type="dxa"/>
            <w:vAlign w:val="bottom"/>
          </w:tcPr>
          <w:p>
            <w:pPr>
              <w:spacing w:after="0"/>
              <w:rPr>
                <w:sz w:val="1"/>
                <w:szCs w:val="1"/>
                <w:color w:val="auto"/>
              </w:rPr>
            </w:pPr>
          </w:p>
        </w:tc>
      </w:tr>
      <w:tr>
        <w:trPr>
          <w:trHeight w:val="176"/>
        </w:trPr>
        <w:tc>
          <w:tcPr>
            <w:tcW w:w="1880" w:type="dxa"/>
            <w:vAlign w:val="bottom"/>
            <w:shd w:val="clear" w:color="auto" w:fill="CCEEFF"/>
          </w:tcPr>
          <w:p>
            <w:pPr>
              <w:ind w:left="360"/>
              <w:spacing w:after="0"/>
              <w:rPr>
                <w:sz w:val="20"/>
                <w:szCs w:val="20"/>
                <w:color w:val="auto"/>
              </w:rPr>
            </w:pPr>
            <w:r>
              <w:rPr>
                <w:rFonts w:ascii="Arial" w:cs="Arial" w:eastAsia="Arial" w:hAnsi="Arial"/>
                <w:sz w:val="13"/>
                <w:szCs w:val="13"/>
                <w:color w:val="auto"/>
              </w:rPr>
              <w:t>expense</w:t>
            </w:r>
          </w:p>
        </w:tc>
        <w:tc>
          <w:tcPr>
            <w:tcW w:w="116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tcBorders>
              <w:right w:val="single" w:sz="8" w:color="auto"/>
            </w:tcBorders>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gridSpan w:val="2"/>
            <w:vMerge w:val="continue"/>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2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880" w:type="dxa"/>
            <w:vAlign w:val="bottom"/>
          </w:tcPr>
          <w:p>
            <w:pPr>
              <w:ind w:left="180"/>
              <w:spacing w:after="0"/>
              <w:rPr>
                <w:sz w:val="20"/>
                <w:szCs w:val="20"/>
                <w:color w:val="auto"/>
              </w:rPr>
            </w:pPr>
            <w:r>
              <w:rPr>
                <w:rFonts w:ascii="Arial" w:cs="Arial" w:eastAsia="Arial" w:hAnsi="Arial"/>
                <w:sz w:val="13"/>
                <w:szCs w:val="13"/>
                <w:color w:val="auto"/>
              </w:rPr>
              <w:t>Net loss</w:t>
            </w: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tcPr>
          <w:p>
            <w:pPr>
              <w:spacing w:after="0"/>
              <w:rPr>
                <w:sz w:val="14"/>
                <w:szCs w:val="14"/>
                <w:color w:val="auto"/>
              </w:rPr>
            </w:pPr>
          </w:p>
        </w:tc>
        <w:tc>
          <w:tcPr>
            <w:tcW w:w="32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40" w:type="dxa"/>
            <w:vAlign w:val="bottom"/>
            <w:gridSpan w:val="2"/>
          </w:tcPr>
          <w:p>
            <w:pPr>
              <w:jc w:val="center"/>
              <w:ind w:left="539"/>
              <w:spacing w:after="0"/>
              <w:rPr>
                <w:sz w:val="20"/>
                <w:szCs w:val="20"/>
                <w:color w:val="auto"/>
              </w:rPr>
            </w:pPr>
            <w:r>
              <w:rPr>
                <w:rFonts w:ascii="Arial" w:cs="Arial" w:eastAsia="Arial" w:hAnsi="Arial"/>
                <w:sz w:val="13"/>
                <w:szCs w:val="13"/>
                <w:color w:val="auto"/>
                <w:w w:val="91"/>
              </w:rPr>
              <w:t>—</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(18,693)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(18,693)</w:t>
            </w:r>
          </w:p>
        </w:tc>
        <w:tc>
          <w:tcPr>
            <w:tcW w:w="0" w:type="dxa"/>
            <w:vAlign w:val="bottom"/>
          </w:tcPr>
          <w:p>
            <w:pPr>
              <w:spacing w:after="0"/>
              <w:rPr>
                <w:sz w:val="1"/>
                <w:szCs w:val="1"/>
                <w:color w:val="auto"/>
              </w:rPr>
            </w:pPr>
          </w:p>
        </w:tc>
      </w:tr>
      <w:tr>
        <w:trPr>
          <w:trHeight w:val="176"/>
        </w:trPr>
        <w:tc>
          <w:tcPr>
            <w:tcW w:w="1880" w:type="dxa"/>
            <w:vAlign w:val="bottom"/>
            <w:tcBorders>
              <w:top w:val="single" w:sz="8" w:color="CCEEFF"/>
            </w:tcBorders>
            <w:shd w:val="clear" w:color="auto" w:fill="CCEEFF"/>
          </w:tcPr>
          <w:p>
            <w:pPr>
              <w:ind w:left="20"/>
              <w:spacing w:after="0" w:line="147" w:lineRule="exact"/>
              <w:rPr>
                <w:sz w:val="20"/>
                <w:szCs w:val="20"/>
                <w:color w:val="auto"/>
              </w:rPr>
            </w:pPr>
            <w:r>
              <w:rPr>
                <w:rFonts w:ascii="Arial" w:cs="Arial" w:eastAsia="Arial" w:hAnsi="Arial"/>
                <w:sz w:val="13"/>
                <w:szCs w:val="13"/>
                <w:color w:val="auto"/>
              </w:rPr>
              <w:t>Balance — March 31, 2020</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4,384,348</w:t>
            </w: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40,016</w:t>
            </w:r>
          </w:p>
        </w:tc>
        <w:tc>
          <w:tcPr>
            <w:tcW w:w="100" w:type="dxa"/>
            <w:vAlign w:val="bottom"/>
            <w:tcBorders>
              <w:top w:val="single" w:sz="8" w:color="CCEEFF"/>
              <w:right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7,902,830</w:t>
            </w:r>
          </w:p>
        </w:tc>
        <w:tc>
          <w:tcPr>
            <w:tcW w:w="10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2,509</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center"/>
              <w:ind w:left="639"/>
              <w:spacing w:after="0"/>
              <w:rPr>
                <w:sz w:val="20"/>
                <w:szCs w:val="20"/>
                <w:color w:val="auto"/>
              </w:rPr>
            </w:pPr>
            <w:r>
              <w:rPr>
                <w:rFonts w:ascii="Arial" w:cs="Arial" w:eastAsia="Arial" w:hAnsi="Arial"/>
                <w:sz w:val="13"/>
                <w:szCs w:val="13"/>
                <w:color w:val="auto"/>
                <w:w w:val="91"/>
              </w:rPr>
              <w:t>—</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(121,288)</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(118,779)</w:t>
            </w:r>
          </w:p>
        </w:tc>
        <w:tc>
          <w:tcPr>
            <w:tcW w:w="0" w:type="dxa"/>
            <w:vAlign w:val="bottom"/>
          </w:tcPr>
          <w:p>
            <w:pPr>
              <w:spacing w:after="0"/>
              <w:rPr>
                <w:sz w:val="1"/>
                <w:szCs w:val="1"/>
                <w:color w:val="auto"/>
              </w:rPr>
            </w:pPr>
          </w:p>
        </w:tc>
      </w:tr>
      <w:tr>
        <w:trPr>
          <w:trHeight w:val="122"/>
        </w:trPr>
        <w:tc>
          <w:tcPr>
            <w:tcW w:w="1880" w:type="dxa"/>
            <w:vAlign w:val="bottom"/>
          </w:tcPr>
          <w:p>
            <w:pPr>
              <w:ind w:left="180"/>
              <w:spacing w:after="0" w:line="122" w:lineRule="exact"/>
              <w:rPr>
                <w:sz w:val="20"/>
                <w:szCs w:val="20"/>
                <w:color w:val="auto"/>
              </w:rPr>
            </w:pPr>
            <w:r>
              <w:rPr>
                <w:rFonts w:ascii="Arial" w:cs="Arial" w:eastAsia="Arial" w:hAnsi="Arial"/>
                <w:sz w:val="13"/>
                <w:szCs w:val="13"/>
                <w:color w:val="auto"/>
              </w:rPr>
              <w:t>Issuance of redeemable</w:t>
            </w: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880" w:type="dxa"/>
            <w:vAlign w:val="bottom"/>
          </w:tcPr>
          <w:p>
            <w:pPr>
              <w:ind w:left="360"/>
              <w:spacing w:after="0" w:line="122" w:lineRule="exact"/>
              <w:rPr>
                <w:sz w:val="20"/>
                <w:szCs w:val="20"/>
                <w:color w:val="auto"/>
              </w:rPr>
            </w:pPr>
            <w:r>
              <w:rPr>
                <w:rFonts w:ascii="Arial" w:cs="Arial" w:eastAsia="Arial" w:hAnsi="Arial"/>
                <w:sz w:val="13"/>
                <w:szCs w:val="13"/>
                <w:color w:val="auto"/>
                <w:w w:val="95"/>
              </w:rPr>
              <w:t>convertible preferred stock,</w:t>
            </w: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880" w:type="dxa"/>
            <w:vAlign w:val="bottom"/>
          </w:tcPr>
          <w:p>
            <w:pPr>
              <w:ind w:left="360"/>
              <w:spacing w:after="0" w:line="122" w:lineRule="exact"/>
              <w:rPr>
                <w:sz w:val="20"/>
                <w:szCs w:val="20"/>
                <w:color w:val="auto"/>
              </w:rPr>
            </w:pPr>
            <w:r>
              <w:rPr>
                <w:rFonts w:ascii="Arial" w:cs="Arial" w:eastAsia="Arial" w:hAnsi="Arial"/>
                <w:sz w:val="13"/>
                <w:szCs w:val="13"/>
                <w:color w:val="auto"/>
                <w:w w:val="91"/>
              </w:rPr>
              <w:t>net of discount and issuance</w:t>
            </w:r>
          </w:p>
        </w:tc>
        <w:tc>
          <w:tcPr>
            <w:tcW w:w="1080" w:type="dxa"/>
            <w:vAlign w:val="bottom"/>
            <w:vMerge w:val="restart"/>
          </w:tcPr>
          <w:p>
            <w:pPr>
              <w:jc w:val="right"/>
              <w:spacing w:after="0"/>
              <w:rPr>
                <w:sz w:val="20"/>
                <w:szCs w:val="20"/>
                <w:color w:val="auto"/>
              </w:rPr>
            </w:pPr>
            <w:r>
              <w:rPr>
                <w:rFonts w:ascii="Arial" w:cs="Arial" w:eastAsia="Arial" w:hAnsi="Arial"/>
                <w:sz w:val="13"/>
                <w:szCs w:val="13"/>
                <w:color w:val="auto"/>
              </w:rPr>
              <w:t>43,952,862</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18,330</w:t>
            </w: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tcPr>
          <w:p>
            <w:pPr>
              <w:spacing w:after="0"/>
              <w:rPr>
                <w:sz w:val="10"/>
                <w:szCs w:val="10"/>
                <w:color w:val="auto"/>
              </w:rPr>
            </w:pPr>
          </w:p>
        </w:tc>
        <w:tc>
          <w:tcPr>
            <w:tcW w:w="320" w:type="dxa"/>
            <w:vAlign w:val="bottom"/>
            <w:gridSpan w:val="2"/>
            <w:vMerge w:val="restart"/>
          </w:tcPr>
          <w:p>
            <w:pPr>
              <w:ind w:left="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1040" w:type="dxa"/>
            <w:vAlign w:val="bottom"/>
            <w:gridSpan w:val="2"/>
            <w:vMerge w:val="restart"/>
          </w:tcPr>
          <w:p>
            <w:pPr>
              <w:jc w:val="center"/>
              <w:ind w:left="539"/>
              <w:spacing w:after="0"/>
              <w:rPr>
                <w:sz w:val="20"/>
                <w:szCs w:val="20"/>
                <w:color w:val="auto"/>
              </w:rPr>
            </w:pPr>
            <w:r>
              <w:rPr>
                <w:rFonts w:ascii="Arial" w:cs="Arial" w:eastAsia="Arial" w:hAnsi="Arial"/>
                <w:sz w:val="13"/>
                <w:szCs w:val="13"/>
                <w:color w:val="auto"/>
                <w:w w:val="91"/>
              </w:rPr>
              <w:t>—</w:t>
            </w:r>
          </w:p>
        </w:tc>
        <w:tc>
          <w:tcPr>
            <w:tcW w:w="140" w:type="dxa"/>
            <w:vAlign w:val="bottom"/>
          </w:tcPr>
          <w:p>
            <w:pPr>
              <w:spacing w:after="0"/>
              <w:rPr>
                <w:sz w:val="10"/>
                <w:szCs w:val="10"/>
                <w:color w:val="auto"/>
              </w:rPr>
            </w:pPr>
          </w:p>
        </w:tc>
        <w:tc>
          <w:tcPr>
            <w:tcW w:w="1040" w:type="dxa"/>
            <w:vAlign w:val="bottom"/>
            <w:gridSpan w:val="2"/>
            <w:vMerge w:val="restart"/>
          </w:tcPr>
          <w:p>
            <w:pPr>
              <w:ind w:left="7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1880" w:type="dxa"/>
            <w:vAlign w:val="bottom"/>
          </w:tcPr>
          <w:p>
            <w:pPr>
              <w:ind w:left="360"/>
              <w:spacing w:after="0"/>
              <w:rPr>
                <w:sz w:val="20"/>
                <w:szCs w:val="20"/>
                <w:color w:val="auto"/>
              </w:rPr>
            </w:pPr>
            <w:r>
              <w:rPr>
                <w:rFonts w:ascii="Arial" w:cs="Arial" w:eastAsia="Arial" w:hAnsi="Arial"/>
                <w:sz w:val="13"/>
                <w:szCs w:val="13"/>
                <w:color w:val="auto"/>
              </w:rPr>
              <w:t>cost</w:t>
            </w:r>
          </w:p>
        </w:tc>
        <w:tc>
          <w:tcPr>
            <w:tcW w:w="10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880" w:type="dxa"/>
            <w:vAlign w:val="bottom"/>
            <w:shd w:val="clear" w:color="auto" w:fill="CCEEFF"/>
          </w:tcPr>
          <w:p>
            <w:pPr>
              <w:ind w:left="180"/>
              <w:spacing w:after="0" w:line="129" w:lineRule="exact"/>
              <w:rPr>
                <w:sz w:val="20"/>
                <w:szCs w:val="20"/>
                <w:color w:val="auto"/>
              </w:rPr>
            </w:pPr>
            <w:r>
              <w:rPr>
                <w:rFonts w:ascii="Arial" w:cs="Arial" w:eastAsia="Arial" w:hAnsi="Arial"/>
                <w:sz w:val="13"/>
                <w:szCs w:val="13"/>
                <w:color w:val="auto"/>
              </w:rPr>
              <w:t>Conversion of redeemable</w:t>
            </w: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880" w:type="dxa"/>
            <w:vAlign w:val="bottom"/>
            <w:shd w:val="clear" w:color="auto" w:fill="CCEEFF"/>
          </w:tcPr>
          <w:p>
            <w:pPr>
              <w:ind w:left="360"/>
              <w:spacing w:after="0" w:line="122" w:lineRule="exact"/>
              <w:rPr>
                <w:sz w:val="20"/>
                <w:szCs w:val="20"/>
                <w:color w:val="auto"/>
              </w:rPr>
            </w:pPr>
            <w:r>
              <w:rPr>
                <w:rFonts w:ascii="Arial" w:cs="Arial" w:eastAsia="Arial" w:hAnsi="Arial"/>
                <w:sz w:val="13"/>
                <w:szCs w:val="13"/>
                <w:color w:val="auto"/>
                <w:w w:val="89"/>
              </w:rPr>
              <w:t>convertible preferred stock to</w:t>
            </w:r>
          </w:p>
        </w:tc>
        <w:tc>
          <w:tcPr>
            <w:tcW w:w="1080" w:type="dxa"/>
            <w:vAlign w:val="bottom"/>
            <w:vMerge w:val="restart"/>
            <w:shd w:val="clear" w:color="auto" w:fill="CCEEFF"/>
          </w:tcPr>
          <w:p>
            <w:pPr>
              <w:ind w:left="460"/>
              <w:spacing w:after="0"/>
              <w:rPr>
                <w:sz w:val="20"/>
                <w:szCs w:val="20"/>
                <w:color w:val="auto"/>
              </w:rPr>
            </w:pPr>
            <w:r>
              <w:rPr>
                <w:rFonts w:ascii="Arial" w:cs="Arial" w:eastAsia="Arial" w:hAnsi="Arial"/>
                <w:sz w:val="13"/>
                <w:szCs w:val="13"/>
                <w:color w:val="auto"/>
                <w:w w:val="90"/>
              </w:rPr>
              <w:t>(6,234,955)</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(40,016)</w:t>
            </w:r>
          </w:p>
        </w:tc>
        <w:tc>
          <w:tcPr>
            <w:tcW w:w="10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6,234,955</w:t>
            </w: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20" w:type="dxa"/>
            <w:vAlign w:val="bottom"/>
            <w:gridSpan w:val="2"/>
            <w:vMerge w:val="restart"/>
            <w:shd w:val="clear" w:color="auto" w:fill="CCEEFF"/>
          </w:tcPr>
          <w:p>
            <w:pPr>
              <w:ind w:left="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0"/>
                <w:szCs w:val="10"/>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40,016</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40" w:type="dxa"/>
            <w:vAlign w:val="bottom"/>
            <w:gridSpan w:val="2"/>
            <w:vMerge w:val="restart"/>
            <w:shd w:val="clear" w:color="auto" w:fill="CCEEFF"/>
          </w:tcPr>
          <w:p>
            <w:pPr>
              <w:jc w:val="center"/>
              <w:ind w:left="539"/>
              <w:spacing w:after="0"/>
              <w:rPr>
                <w:sz w:val="20"/>
                <w:szCs w:val="20"/>
                <w:color w:val="auto"/>
              </w:rPr>
            </w:pPr>
            <w:r>
              <w:rPr>
                <w:rFonts w:ascii="Arial" w:cs="Arial" w:eastAsia="Arial" w:hAnsi="Arial"/>
                <w:sz w:val="13"/>
                <w:szCs w:val="13"/>
                <w:color w:val="auto"/>
                <w:w w:val="91"/>
              </w:rPr>
              <w:t>—</w:t>
            </w:r>
          </w:p>
        </w:tc>
        <w:tc>
          <w:tcPr>
            <w:tcW w:w="140" w:type="dxa"/>
            <w:vAlign w:val="bottom"/>
            <w:shd w:val="clear" w:color="auto" w:fill="CCEEFF"/>
          </w:tcPr>
          <w:p>
            <w:pPr>
              <w:spacing w:after="0"/>
              <w:rPr>
                <w:sz w:val="10"/>
                <w:szCs w:val="10"/>
                <w:color w:val="auto"/>
              </w:rPr>
            </w:pPr>
          </w:p>
        </w:tc>
        <w:tc>
          <w:tcPr>
            <w:tcW w:w="1040" w:type="dxa"/>
            <w:vAlign w:val="bottom"/>
            <w:gridSpan w:val="2"/>
            <w:vMerge w:val="restart"/>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0"/>
                <w:szCs w:val="10"/>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40,016</w:t>
            </w:r>
          </w:p>
        </w:tc>
        <w:tc>
          <w:tcPr>
            <w:tcW w:w="0" w:type="dxa"/>
            <w:vAlign w:val="bottom"/>
          </w:tcPr>
          <w:p>
            <w:pPr>
              <w:spacing w:after="0"/>
              <w:rPr>
                <w:sz w:val="1"/>
                <w:szCs w:val="1"/>
                <w:color w:val="auto"/>
              </w:rPr>
            </w:pPr>
          </w:p>
        </w:tc>
      </w:tr>
      <w:tr>
        <w:trPr>
          <w:trHeight w:val="176"/>
        </w:trPr>
        <w:tc>
          <w:tcPr>
            <w:tcW w:w="1880" w:type="dxa"/>
            <w:vAlign w:val="bottom"/>
            <w:shd w:val="clear" w:color="auto" w:fill="CCEEFF"/>
          </w:tcPr>
          <w:p>
            <w:pPr>
              <w:ind w:left="360"/>
              <w:spacing w:after="0"/>
              <w:rPr>
                <w:sz w:val="20"/>
                <w:szCs w:val="20"/>
                <w:color w:val="auto"/>
              </w:rPr>
            </w:pPr>
            <w:r>
              <w:rPr>
                <w:rFonts w:ascii="Arial" w:cs="Arial" w:eastAsia="Arial" w:hAnsi="Arial"/>
                <w:sz w:val="13"/>
                <w:szCs w:val="13"/>
                <w:color w:val="auto"/>
              </w:rPr>
              <w:t>common stock</w:t>
            </w:r>
          </w:p>
        </w:tc>
        <w:tc>
          <w:tcPr>
            <w:tcW w:w="10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2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880" w:type="dxa"/>
            <w:vAlign w:val="bottom"/>
          </w:tcPr>
          <w:p>
            <w:pPr>
              <w:ind w:left="180"/>
              <w:spacing w:after="0" w:line="122" w:lineRule="exact"/>
              <w:rPr>
                <w:sz w:val="20"/>
                <w:szCs w:val="20"/>
                <w:color w:val="auto"/>
              </w:rPr>
            </w:pPr>
            <w:r>
              <w:rPr>
                <w:rFonts w:ascii="Arial" w:cs="Arial" w:eastAsia="Arial" w:hAnsi="Arial"/>
                <w:sz w:val="13"/>
                <w:szCs w:val="13"/>
                <w:color w:val="auto"/>
                <w:w w:val="92"/>
              </w:rPr>
              <w:t>Conversion of convertible notes</w:t>
            </w:r>
          </w:p>
        </w:tc>
        <w:tc>
          <w:tcPr>
            <w:tcW w:w="11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98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1080" w:type="dxa"/>
            <w:vAlign w:val="bottom"/>
            <w:vMerge w:val="restart"/>
          </w:tcPr>
          <w:p>
            <w:pPr>
              <w:jc w:val="right"/>
              <w:spacing w:after="0"/>
              <w:rPr>
                <w:sz w:val="20"/>
                <w:szCs w:val="20"/>
                <w:color w:val="auto"/>
              </w:rPr>
            </w:pPr>
            <w:r>
              <w:rPr>
                <w:rFonts w:ascii="Arial" w:cs="Arial" w:eastAsia="Arial" w:hAnsi="Arial"/>
                <w:sz w:val="13"/>
                <w:szCs w:val="13"/>
                <w:color w:val="auto"/>
              </w:rPr>
              <w:t>10,241,795</w:t>
            </w: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gridSpan w:val="2"/>
            <w:vMerge w:val="restart"/>
          </w:tcPr>
          <w:p>
            <w:pPr>
              <w:ind w:left="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78,311</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vMerge w:val="restart"/>
          </w:tcPr>
          <w:p>
            <w:pPr>
              <w:jc w:val="center"/>
              <w:ind w:left="539"/>
              <w:spacing w:after="0"/>
              <w:rPr>
                <w:sz w:val="20"/>
                <w:szCs w:val="20"/>
                <w:color w:val="auto"/>
              </w:rPr>
            </w:pPr>
            <w:r>
              <w:rPr>
                <w:rFonts w:ascii="Arial" w:cs="Arial" w:eastAsia="Arial" w:hAnsi="Arial"/>
                <w:sz w:val="13"/>
                <w:szCs w:val="13"/>
                <w:color w:val="auto"/>
                <w:w w:val="91"/>
              </w:rPr>
              <w:t>—</w:t>
            </w:r>
          </w:p>
        </w:tc>
        <w:tc>
          <w:tcPr>
            <w:tcW w:w="140" w:type="dxa"/>
            <w:vAlign w:val="bottom"/>
          </w:tcPr>
          <w:p>
            <w:pPr>
              <w:spacing w:after="0"/>
              <w:rPr>
                <w:sz w:val="10"/>
                <w:szCs w:val="10"/>
                <w:color w:val="auto"/>
              </w:rPr>
            </w:pPr>
          </w:p>
        </w:tc>
        <w:tc>
          <w:tcPr>
            <w:tcW w:w="1040" w:type="dxa"/>
            <w:vAlign w:val="bottom"/>
            <w:gridSpan w:val="2"/>
            <w:vMerge w:val="restart"/>
          </w:tcPr>
          <w:p>
            <w:pPr>
              <w:ind w:left="7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78,311</w:t>
            </w:r>
          </w:p>
        </w:tc>
        <w:tc>
          <w:tcPr>
            <w:tcW w:w="0" w:type="dxa"/>
            <w:vAlign w:val="bottom"/>
          </w:tcPr>
          <w:p>
            <w:pPr>
              <w:spacing w:after="0"/>
              <w:rPr>
                <w:sz w:val="1"/>
                <w:szCs w:val="1"/>
                <w:color w:val="auto"/>
              </w:rPr>
            </w:pPr>
          </w:p>
        </w:tc>
      </w:tr>
      <w:tr>
        <w:trPr>
          <w:trHeight w:val="168"/>
        </w:trPr>
        <w:tc>
          <w:tcPr>
            <w:tcW w:w="1880" w:type="dxa"/>
            <w:vAlign w:val="bottom"/>
          </w:tcPr>
          <w:p>
            <w:pPr>
              <w:ind w:left="360"/>
              <w:spacing w:after="0"/>
              <w:rPr>
                <w:sz w:val="20"/>
                <w:szCs w:val="20"/>
                <w:color w:val="auto"/>
              </w:rPr>
            </w:pPr>
            <w:r>
              <w:rPr>
                <w:rFonts w:ascii="Arial" w:cs="Arial" w:eastAsia="Arial" w:hAnsi="Arial"/>
                <w:sz w:val="13"/>
                <w:szCs w:val="13"/>
                <w:color w:val="auto"/>
              </w:rPr>
              <w:t>to common stock</w:t>
            </w:r>
          </w:p>
        </w:tc>
        <w:tc>
          <w:tcPr>
            <w:tcW w:w="11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Borders>
              <w:right w:val="single" w:sz="8" w:color="auto"/>
            </w:tcBorders>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880" w:type="dxa"/>
            <w:vAlign w:val="bottom"/>
            <w:shd w:val="clear" w:color="auto" w:fill="CCEEFF"/>
          </w:tcPr>
          <w:p>
            <w:pPr>
              <w:ind w:left="180"/>
              <w:spacing w:after="0" w:line="129" w:lineRule="exact"/>
              <w:rPr>
                <w:sz w:val="20"/>
                <w:szCs w:val="20"/>
                <w:color w:val="auto"/>
              </w:rPr>
            </w:pPr>
            <w:r>
              <w:rPr>
                <w:rFonts w:ascii="Arial" w:cs="Arial" w:eastAsia="Arial" w:hAnsi="Arial"/>
                <w:sz w:val="13"/>
                <w:szCs w:val="13"/>
                <w:color w:val="auto"/>
              </w:rPr>
              <w:t>Stock-based compensation</w:t>
            </w:r>
          </w:p>
        </w:tc>
        <w:tc>
          <w:tcPr>
            <w:tcW w:w="11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98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1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spacing w:after="0"/>
              <w:rPr>
                <w:sz w:val="11"/>
                <w:szCs w:val="11"/>
                <w:color w:val="auto"/>
              </w:rPr>
            </w:pPr>
          </w:p>
        </w:tc>
        <w:tc>
          <w:tcPr>
            <w:tcW w:w="320" w:type="dxa"/>
            <w:vAlign w:val="bottom"/>
            <w:gridSpan w:val="2"/>
            <w:vMerge w:val="restart"/>
            <w:shd w:val="clear" w:color="auto" w:fill="CCEEFF"/>
          </w:tcPr>
          <w:p>
            <w:pPr>
              <w:ind w:left="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460</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center"/>
              <w:ind w:left="539"/>
              <w:spacing w:after="0"/>
              <w:rPr>
                <w:sz w:val="20"/>
                <w:szCs w:val="20"/>
                <w:color w:val="auto"/>
              </w:rPr>
            </w:pPr>
            <w:r>
              <w:rPr>
                <w:rFonts w:ascii="Arial" w:cs="Arial" w:eastAsia="Arial" w:hAnsi="Arial"/>
                <w:sz w:val="13"/>
                <w:szCs w:val="13"/>
                <w:color w:val="auto"/>
                <w:w w:val="91"/>
              </w:rPr>
              <w:t>—</w:t>
            </w:r>
          </w:p>
        </w:tc>
        <w:tc>
          <w:tcPr>
            <w:tcW w:w="14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460</w:t>
            </w:r>
          </w:p>
        </w:tc>
        <w:tc>
          <w:tcPr>
            <w:tcW w:w="0" w:type="dxa"/>
            <w:vAlign w:val="bottom"/>
          </w:tcPr>
          <w:p>
            <w:pPr>
              <w:spacing w:after="0"/>
              <w:rPr>
                <w:sz w:val="1"/>
                <w:szCs w:val="1"/>
                <w:color w:val="auto"/>
              </w:rPr>
            </w:pPr>
          </w:p>
        </w:tc>
      </w:tr>
      <w:tr>
        <w:trPr>
          <w:trHeight w:val="176"/>
        </w:trPr>
        <w:tc>
          <w:tcPr>
            <w:tcW w:w="1880" w:type="dxa"/>
            <w:vAlign w:val="bottom"/>
            <w:shd w:val="clear" w:color="auto" w:fill="CCEEFF"/>
          </w:tcPr>
          <w:p>
            <w:pPr>
              <w:ind w:left="360"/>
              <w:spacing w:after="0"/>
              <w:rPr>
                <w:sz w:val="20"/>
                <w:szCs w:val="20"/>
                <w:color w:val="auto"/>
              </w:rPr>
            </w:pPr>
            <w:r>
              <w:rPr>
                <w:rFonts w:ascii="Arial" w:cs="Arial" w:eastAsia="Arial" w:hAnsi="Arial"/>
                <w:sz w:val="13"/>
                <w:szCs w:val="13"/>
                <w:color w:val="auto"/>
              </w:rPr>
              <w:t>expense</w:t>
            </w:r>
          </w:p>
        </w:tc>
        <w:tc>
          <w:tcPr>
            <w:tcW w:w="116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tcBorders>
              <w:right w:val="single" w:sz="8" w:color="auto"/>
            </w:tcBorders>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gridSpan w:val="2"/>
            <w:vMerge w:val="continue"/>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2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880" w:type="dxa"/>
            <w:vAlign w:val="bottom"/>
          </w:tcPr>
          <w:p>
            <w:pPr>
              <w:ind w:left="180"/>
              <w:spacing w:after="0" w:line="122" w:lineRule="exact"/>
              <w:rPr>
                <w:sz w:val="20"/>
                <w:szCs w:val="20"/>
                <w:color w:val="auto"/>
              </w:rPr>
            </w:pPr>
            <w:r>
              <w:rPr>
                <w:rFonts w:ascii="Arial" w:cs="Arial" w:eastAsia="Arial" w:hAnsi="Arial"/>
                <w:sz w:val="13"/>
                <w:szCs w:val="13"/>
                <w:color w:val="auto"/>
                <w:w w:val="91"/>
              </w:rPr>
              <w:t>Vesting of early exercised stock</w:t>
            </w:r>
          </w:p>
        </w:tc>
        <w:tc>
          <w:tcPr>
            <w:tcW w:w="11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98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tcPr>
          <w:p>
            <w:pPr>
              <w:spacing w:after="0"/>
              <w:rPr>
                <w:sz w:val="10"/>
                <w:szCs w:val="10"/>
                <w:color w:val="auto"/>
              </w:rPr>
            </w:pPr>
          </w:p>
        </w:tc>
        <w:tc>
          <w:tcPr>
            <w:tcW w:w="320" w:type="dxa"/>
            <w:vAlign w:val="bottom"/>
            <w:gridSpan w:val="2"/>
            <w:vMerge w:val="restart"/>
          </w:tcPr>
          <w:p>
            <w:pPr>
              <w:ind w:left="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12</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vMerge w:val="restart"/>
          </w:tcPr>
          <w:p>
            <w:pPr>
              <w:jc w:val="center"/>
              <w:ind w:left="539"/>
              <w:spacing w:after="0"/>
              <w:rPr>
                <w:sz w:val="20"/>
                <w:szCs w:val="20"/>
                <w:color w:val="auto"/>
              </w:rPr>
            </w:pPr>
            <w:r>
              <w:rPr>
                <w:rFonts w:ascii="Arial" w:cs="Arial" w:eastAsia="Arial" w:hAnsi="Arial"/>
                <w:sz w:val="13"/>
                <w:szCs w:val="13"/>
                <w:color w:val="auto"/>
                <w:w w:val="91"/>
              </w:rPr>
              <w:t>—</w:t>
            </w:r>
          </w:p>
        </w:tc>
        <w:tc>
          <w:tcPr>
            <w:tcW w:w="140" w:type="dxa"/>
            <w:vAlign w:val="bottom"/>
          </w:tcPr>
          <w:p>
            <w:pPr>
              <w:spacing w:after="0"/>
              <w:rPr>
                <w:sz w:val="10"/>
                <w:szCs w:val="10"/>
                <w:color w:val="auto"/>
              </w:rPr>
            </w:pPr>
          </w:p>
        </w:tc>
        <w:tc>
          <w:tcPr>
            <w:tcW w:w="1040" w:type="dxa"/>
            <w:vAlign w:val="bottom"/>
            <w:gridSpan w:val="2"/>
            <w:vMerge w:val="restart"/>
          </w:tcPr>
          <w:p>
            <w:pPr>
              <w:ind w:left="7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68"/>
        </w:trPr>
        <w:tc>
          <w:tcPr>
            <w:tcW w:w="1880" w:type="dxa"/>
            <w:vAlign w:val="bottom"/>
          </w:tcPr>
          <w:p>
            <w:pPr>
              <w:ind w:left="360"/>
              <w:spacing w:after="0"/>
              <w:rPr>
                <w:sz w:val="20"/>
                <w:szCs w:val="20"/>
                <w:color w:val="auto"/>
              </w:rPr>
            </w:pPr>
            <w:r>
              <w:rPr>
                <w:rFonts w:ascii="Arial" w:cs="Arial" w:eastAsia="Arial" w:hAnsi="Arial"/>
                <w:sz w:val="13"/>
                <w:szCs w:val="13"/>
                <w:color w:val="auto"/>
              </w:rPr>
              <w:t>options</w:t>
            </w:r>
          </w:p>
        </w:tc>
        <w:tc>
          <w:tcPr>
            <w:tcW w:w="11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Borders>
              <w:right w:val="single" w:sz="8" w:color="auto"/>
            </w:tcBorders>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8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Net loss</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98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spacing w:after="0"/>
              <w:rPr>
                <w:sz w:val="15"/>
                <w:szCs w:val="15"/>
                <w:color w:val="auto"/>
              </w:rPr>
            </w:pPr>
          </w:p>
        </w:tc>
        <w:tc>
          <w:tcPr>
            <w:tcW w:w="32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center"/>
              <w:ind w:left="539"/>
              <w:spacing w:after="0"/>
              <w:rPr>
                <w:sz w:val="20"/>
                <w:szCs w:val="20"/>
                <w:color w:val="auto"/>
              </w:rPr>
            </w:pPr>
            <w:r>
              <w:rPr>
                <w:rFonts w:ascii="Arial" w:cs="Arial" w:eastAsia="Arial" w:hAnsi="Arial"/>
                <w:sz w:val="13"/>
                <w:szCs w:val="13"/>
                <w:color w:val="auto"/>
                <w:w w:val="91"/>
              </w:rPr>
              <w:t>—</w:t>
            </w: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(11,312)</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(11,312)</w:t>
            </w:r>
          </w:p>
        </w:tc>
        <w:tc>
          <w:tcPr>
            <w:tcW w:w="0" w:type="dxa"/>
            <w:vAlign w:val="bottom"/>
          </w:tcPr>
          <w:p>
            <w:pPr>
              <w:spacing w:after="0"/>
              <w:rPr>
                <w:sz w:val="1"/>
                <w:szCs w:val="1"/>
                <w:color w:val="auto"/>
              </w:rPr>
            </w:pPr>
          </w:p>
        </w:tc>
      </w:tr>
      <w:tr>
        <w:trPr>
          <w:trHeight w:val="203"/>
        </w:trPr>
        <w:tc>
          <w:tcPr>
            <w:tcW w:w="1880" w:type="dxa"/>
            <w:vAlign w:val="bottom"/>
          </w:tcPr>
          <w:p>
            <w:pPr>
              <w:ind w:left="20"/>
              <w:spacing w:after="0" w:line="141" w:lineRule="exact"/>
              <w:rPr>
                <w:sz w:val="20"/>
                <w:szCs w:val="20"/>
                <w:color w:val="auto"/>
              </w:rPr>
            </w:pPr>
            <w:r>
              <w:rPr>
                <w:rFonts w:ascii="Arial" w:cs="Arial" w:eastAsia="Arial" w:hAnsi="Arial"/>
                <w:sz w:val="13"/>
                <w:szCs w:val="13"/>
                <w:color w:val="auto"/>
              </w:rPr>
              <w:t>Balance — June 30, 2020</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42,102,255</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18,330</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24,379,580</w:t>
            </w:r>
          </w:p>
        </w:tc>
        <w:tc>
          <w:tcPr>
            <w:tcW w:w="10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ind w:right="677"/>
              <w:spacing w:after="0"/>
              <w:rPr>
                <w:sz w:val="20"/>
                <w:szCs w:val="20"/>
                <w:color w:val="auto"/>
              </w:rPr>
            </w:pPr>
            <w:r>
              <w:rPr>
                <w:rFonts w:ascii="Arial" w:cs="Arial" w:eastAsia="Arial" w:hAnsi="Arial"/>
                <w:sz w:val="13"/>
                <w:szCs w:val="13"/>
                <w:color w:val="auto"/>
                <w:w w:val="82"/>
              </w:rPr>
              <w:t>$</w:t>
            </w:r>
          </w:p>
        </w:tc>
        <w:tc>
          <w:tcPr>
            <w:tcW w:w="2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121,308</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bottom w:val="single" w:sz="8" w:color="auto"/>
            </w:tcBorders>
          </w:tcPr>
          <w:p>
            <w:pPr>
              <w:jc w:val="center"/>
              <w:ind w:left="639"/>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(132,600)</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(11,292)</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240" w:firstLine="8"/>
        <w:spacing w:after="0" w:line="255" w:lineRule="auto"/>
        <w:tabs>
          <w:tab w:leader="none" w:pos="178"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shares of the Company’s common and redeemable convertible preferred stock, prior to the Merger (as defined in Note 1), have been retroactively restated as shares reflecting the exchange ratio of approximately 0.703 established in the Merger as described in Note 1.</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OUSTER,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559"/>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7"/>
        </w:trPr>
        <w:tc>
          <w:tcPr>
            <w:tcW w:w="82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7"/>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280" w:type="dxa"/>
            <w:vAlign w:val="bottom"/>
          </w:tcPr>
          <w:p>
            <w:pPr>
              <w:ind w:left="360"/>
              <w:spacing w:after="0"/>
              <w:rPr>
                <w:sz w:val="20"/>
                <w:szCs w:val="20"/>
                <w:color w:val="auto"/>
              </w:rPr>
            </w:pPr>
            <w:r>
              <w:rPr>
                <w:rFonts w:ascii="Arial" w:cs="Arial" w:eastAsia="Arial" w:hAnsi="Arial"/>
                <w:sz w:val="16"/>
                <w:szCs w:val="16"/>
                <w:color w:val="auto"/>
              </w:rPr>
              <w:t>Net loss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(52,968)</w:t>
            </w:r>
          </w:p>
        </w:tc>
        <w:tc>
          <w:tcPr>
            <w:tcW w:w="8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(30,005)</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280" w:type="dxa"/>
            <w:vAlign w:val="bottom"/>
          </w:tcPr>
          <w:p>
            <w:pPr>
              <w:ind w:left="68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2,254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1,725</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Stock-based compensation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11,410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635</w:t>
            </w:r>
          </w:p>
        </w:tc>
        <w:tc>
          <w:tcPr>
            <w:tcW w:w="0" w:type="dxa"/>
            <w:vAlign w:val="bottom"/>
          </w:tcPr>
          <w:p>
            <w:pPr>
              <w:spacing w:after="0"/>
              <w:rPr>
                <w:sz w:val="1"/>
                <w:szCs w:val="1"/>
                <w:color w:val="auto"/>
              </w:rPr>
            </w:pPr>
          </w:p>
        </w:tc>
      </w:tr>
      <w:tr>
        <w:trPr>
          <w:trHeight w:val="213"/>
        </w:trPr>
        <w:tc>
          <w:tcPr>
            <w:tcW w:w="8280" w:type="dxa"/>
            <w:vAlign w:val="bottom"/>
          </w:tcPr>
          <w:p>
            <w:pPr>
              <w:ind w:left="680"/>
              <w:spacing w:after="0"/>
              <w:rPr>
                <w:sz w:val="20"/>
                <w:szCs w:val="20"/>
                <w:color w:val="auto"/>
              </w:rPr>
            </w:pPr>
            <w:r>
              <w:rPr>
                <w:rFonts w:ascii="Arial" w:cs="Arial" w:eastAsia="Arial" w:hAnsi="Arial"/>
                <w:sz w:val="16"/>
                <w:szCs w:val="16"/>
                <w:color w:val="auto"/>
              </w:rPr>
              <w:t>Change in right-of-use asset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1,047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1,075</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Interest expense on notes and convertible debt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962</w:t>
            </w:r>
          </w:p>
        </w:tc>
        <w:tc>
          <w:tcPr>
            <w:tcW w:w="0" w:type="dxa"/>
            <w:vAlign w:val="bottom"/>
          </w:tcPr>
          <w:p>
            <w:pPr>
              <w:spacing w:after="0"/>
              <w:rPr>
                <w:sz w:val="1"/>
                <w:szCs w:val="1"/>
                <w:color w:val="auto"/>
              </w:rPr>
            </w:pPr>
          </w:p>
        </w:tc>
      </w:tr>
      <w:tr>
        <w:trPr>
          <w:trHeight w:val="213"/>
        </w:trPr>
        <w:tc>
          <w:tcPr>
            <w:tcW w:w="8280" w:type="dxa"/>
            <w:vAlign w:val="bottom"/>
          </w:tcPr>
          <w:p>
            <w:pPr>
              <w:ind w:left="680"/>
              <w:spacing w:after="0"/>
              <w:rPr>
                <w:sz w:val="20"/>
                <w:szCs w:val="20"/>
                <w:color w:val="auto"/>
              </w:rPr>
            </w:pPr>
            <w:r>
              <w:rPr>
                <w:rFonts w:ascii="Arial" w:cs="Arial" w:eastAsia="Arial" w:hAnsi="Arial"/>
                <w:sz w:val="16"/>
                <w:szCs w:val="16"/>
                <w:color w:val="auto"/>
              </w:rPr>
              <w:t>Amortization of debt issuance costs and debt discount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250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Change in fair value of warrant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14,898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13"/>
        </w:trPr>
        <w:tc>
          <w:tcPr>
            <w:tcW w:w="8280" w:type="dxa"/>
            <w:vAlign w:val="bottom"/>
          </w:tcPr>
          <w:p>
            <w:pPr>
              <w:ind w:left="680"/>
              <w:spacing w:after="0"/>
              <w:rPr>
                <w:sz w:val="20"/>
                <w:szCs w:val="20"/>
                <w:color w:val="auto"/>
              </w:rPr>
            </w:pPr>
            <w:r>
              <w:rPr>
                <w:rFonts w:ascii="Arial" w:cs="Arial" w:eastAsia="Arial" w:hAnsi="Arial"/>
                <w:sz w:val="16"/>
                <w:szCs w:val="16"/>
                <w:color w:val="auto"/>
              </w:rPr>
              <w:t>Change in fair value of derivative liability</w:t>
            </w:r>
          </w:p>
        </w:tc>
        <w:tc>
          <w:tcPr>
            <w:tcW w:w="3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5,308</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Inventory write down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1,767</w:t>
            </w:r>
          </w:p>
        </w:tc>
        <w:tc>
          <w:tcPr>
            <w:tcW w:w="0" w:type="dxa"/>
            <w:vAlign w:val="bottom"/>
          </w:tcPr>
          <w:p>
            <w:pPr>
              <w:spacing w:after="0"/>
              <w:rPr>
                <w:sz w:val="1"/>
                <w:szCs w:val="1"/>
                <w:color w:val="auto"/>
              </w:rPr>
            </w:pPr>
          </w:p>
        </w:tc>
      </w:tr>
      <w:tr>
        <w:trPr>
          <w:trHeight w:val="213"/>
        </w:trPr>
        <w:tc>
          <w:tcPr>
            <w:tcW w:w="8280" w:type="dxa"/>
            <w:vAlign w:val="bottom"/>
          </w:tcPr>
          <w:p>
            <w:pPr>
              <w:ind w:left="680"/>
              <w:spacing w:after="0"/>
              <w:rPr>
                <w:sz w:val="20"/>
                <w:szCs w:val="20"/>
                <w:color w:val="auto"/>
              </w:rPr>
            </w:pPr>
            <w:r>
              <w:rPr>
                <w:rFonts w:ascii="Arial" w:cs="Arial" w:eastAsia="Arial" w:hAnsi="Arial"/>
                <w:sz w:val="16"/>
                <w:szCs w:val="16"/>
                <w:color w:val="auto"/>
              </w:rPr>
              <w:t>Changes in operating assets and liabilities: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1100"/>
              <w:spacing w:after="0"/>
              <w:rPr>
                <w:sz w:val="20"/>
                <w:szCs w:val="20"/>
                <w:color w:val="auto"/>
              </w:rPr>
            </w:pPr>
            <w:r>
              <w:rPr>
                <w:rFonts w:ascii="Arial" w:cs="Arial" w:eastAsia="Arial" w:hAnsi="Arial"/>
                <w:sz w:val="16"/>
                <w:szCs w:val="16"/>
                <w:color w:val="auto"/>
              </w:rPr>
              <w:t>Accounts receivable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0" w:type="dxa"/>
            <w:vAlign w:val="bottom"/>
          </w:tcPr>
          <w:p>
            <w:pPr>
              <w:spacing w:after="0"/>
              <w:rPr>
                <w:sz w:val="1"/>
                <w:szCs w:val="1"/>
                <w:color w:val="auto"/>
              </w:rPr>
            </w:pPr>
          </w:p>
        </w:tc>
      </w:tr>
      <w:tr>
        <w:trPr>
          <w:trHeight w:val="213"/>
        </w:trPr>
        <w:tc>
          <w:tcPr>
            <w:tcW w:w="8280" w:type="dxa"/>
            <w:vAlign w:val="bottom"/>
          </w:tcPr>
          <w:p>
            <w:pPr>
              <w:ind w:left="1100"/>
              <w:spacing w:after="0"/>
              <w:rPr>
                <w:sz w:val="20"/>
                <w:szCs w:val="20"/>
                <w:color w:val="auto"/>
              </w:rPr>
            </w:pPr>
            <w:r>
              <w:rPr>
                <w:rFonts w:ascii="Arial" w:cs="Arial" w:eastAsia="Arial" w:hAnsi="Arial"/>
                <w:sz w:val="16"/>
                <w:szCs w:val="16"/>
                <w:color w:val="auto"/>
              </w:rPr>
              <w:t>Inventory</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(2,933)</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1100"/>
              <w:spacing w:after="0"/>
              <w:rPr>
                <w:sz w:val="20"/>
                <w:szCs w:val="20"/>
                <w:color w:val="auto"/>
              </w:rPr>
            </w:pPr>
            <w:r>
              <w:rPr>
                <w:rFonts w:ascii="Arial" w:cs="Arial" w:eastAsia="Arial" w:hAnsi="Arial"/>
                <w:sz w:val="16"/>
                <w:szCs w:val="16"/>
                <w:color w:val="auto"/>
              </w:rPr>
              <w:t>Prepaid expenses and other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213"/>
        </w:trPr>
        <w:tc>
          <w:tcPr>
            <w:tcW w:w="8280" w:type="dxa"/>
            <w:vAlign w:val="bottom"/>
          </w:tcPr>
          <w:p>
            <w:pPr>
              <w:ind w:left="1100"/>
              <w:spacing w:after="0"/>
              <w:rPr>
                <w:sz w:val="20"/>
                <w:szCs w:val="20"/>
                <w:color w:val="auto"/>
              </w:rPr>
            </w:pPr>
            <w:r>
              <w:rPr>
                <w:rFonts w:ascii="Arial" w:cs="Arial" w:eastAsia="Arial" w:hAnsi="Arial"/>
                <w:sz w:val="16"/>
                <w:szCs w:val="16"/>
                <w:color w:val="auto"/>
              </w:rPr>
              <w:t>Accounts payable</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(3,317)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(831)</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1100"/>
              <w:spacing w:after="0"/>
              <w:rPr>
                <w:sz w:val="20"/>
                <w:szCs w:val="20"/>
                <w:color w:val="auto"/>
              </w:rPr>
            </w:pPr>
            <w:r>
              <w:rPr>
                <w:rFonts w:ascii="Arial" w:cs="Arial" w:eastAsia="Arial" w:hAnsi="Arial"/>
                <w:sz w:val="16"/>
                <w:szCs w:val="16"/>
                <w:color w:val="auto"/>
              </w:rPr>
              <w:t>Accrued and other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(2,173)</w:t>
            </w:r>
          </w:p>
        </w:tc>
        <w:tc>
          <w:tcPr>
            <w:tcW w:w="0" w:type="dxa"/>
            <w:vAlign w:val="bottom"/>
          </w:tcPr>
          <w:p>
            <w:pPr>
              <w:spacing w:after="0"/>
              <w:rPr>
                <w:sz w:val="1"/>
                <w:szCs w:val="1"/>
                <w:color w:val="auto"/>
              </w:rPr>
            </w:pPr>
          </w:p>
        </w:tc>
      </w:tr>
      <w:tr>
        <w:trPr>
          <w:trHeight w:val="213"/>
        </w:trPr>
        <w:tc>
          <w:tcPr>
            <w:tcW w:w="8280" w:type="dxa"/>
            <w:vAlign w:val="bottom"/>
            <w:tcBorders>
              <w:bottom w:val="single" w:sz="8" w:color="CCEEFF"/>
            </w:tcBorders>
          </w:tcPr>
          <w:p>
            <w:pPr>
              <w:ind w:left="1100"/>
              <w:spacing w:after="0"/>
              <w:rPr>
                <w:sz w:val="20"/>
                <w:szCs w:val="20"/>
                <w:color w:val="auto"/>
              </w:rPr>
            </w:pPr>
            <w:r>
              <w:rPr>
                <w:rFonts w:ascii="Arial" w:cs="Arial" w:eastAsia="Arial" w:hAnsi="Arial"/>
                <w:sz w:val="16"/>
                <w:szCs w:val="16"/>
                <w:color w:val="auto"/>
              </w:rPr>
              <w:t>Operating lease liability</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(1,363)</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3"/>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operating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(28,346)</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(24,269)</w:t>
            </w:r>
          </w:p>
        </w:tc>
        <w:tc>
          <w:tcPr>
            <w:tcW w:w="0" w:type="dxa"/>
            <w:vAlign w:val="bottom"/>
          </w:tcPr>
          <w:p>
            <w:pPr>
              <w:spacing w:after="0"/>
              <w:rPr>
                <w:sz w:val="1"/>
                <w:szCs w:val="1"/>
                <w:color w:val="auto"/>
              </w:rPr>
            </w:pPr>
          </w:p>
        </w:tc>
      </w:tr>
      <w:tr>
        <w:trPr>
          <w:trHeight w:val="193"/>
        </w:trPr>
        <w:tc>
          <w:tcPr>
            <w:tcW w:w="828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Purchases of property and equipment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(659)</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(1,775)</w:t>
            </w:r>
          </w:p>
        </w:tc>
        <w:tc>
          <w:tcPr>
            <w:tcW w:w="0" w:type="dxa"/>
            <w:vAlign w:val="bottom"/>
          </w:tcPr>
          <w:p>
            <w:pPr>
              <w:spacing w:after="0"/>
              <w:rPr>
                <w:sz w:val="1"/>
                <w:szCs w:val="1"/>
                <w:color w:val="auto"/>
              </w:rPr>
            </w:pPr>
          </w:p>
        </w:tc>
      </w:tr>
      <w:tr>
        <w:trPr>
          <w:trHeight w:val="206"/>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used in investing activities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(659)</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(1,775)</w:t>
            </w:r>
          </w:p>
        </w:tc>
        <w:tc>
          <w:tcPr>
            <w:tcW w:w="0" w:type="dxa"/>
            <w:vAlign w:val="bottom"/>
          </w:tcPr>
          <w:p>
            <w:pPr>
              <w:spacing w:after="0"/>
              <w:rPr>
                <w:sz w:val="1"/>
                <w:szCs w:val="1"/>
                <w:color w:val="auto"/>
              </w:rPr>
            </w:pPr>
          </w:p>
        </w:tc>
      </w:tr>
      <w:tr>
        <w:trPr>
          <w:trHeight w:val="199"/>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280" w:type="dxa"/>
            <w:vAlign w:val="bottom"/>
          </w:tcPr>
          <w:p>
            <w:pPr>
              <w:ind w:left="460"/>
              <w:spacing w:after="0"/>
              <w:rPr>
                <w:sz w:val="20"/>
                <w:szCs w:val="20"/>
                <w:color w:val="auto"/>
              </w:rPr>
            </w:pPr>
            <w:r>
              <w:rPr>
                <w:rFonts w:ascii="Arial" w:cs="Arial" w:eastAsia="Arial" w:hAnsi="Arial"/>
                <w:sz w:val="16"/>
                <w:szCs w:val="16"/>
                <w:color w:val="auto"/>
              </w:rPr>
              <w:t>Proceeds from the merger and private offering</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291,454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Payment of offering costs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(27,124)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8280" w:type="dxa"/>
            <w:vAlign w:val="bottom"/>
          </w:tcPr>
          <w:p>
            <w:pPr>
              <w:ind w:left="460"/>
              <w:spacing w:after="0"/>
              <w:rPr>
                <w:sz w:val="20"/>
                <w:szCs w:val="20"/>
                <w:color w:val="auto"/>
              </w:rPr>
            </w:pPr>
            <w:r>
              <w:rPr>
                <w:rFonts w:ascii="Arial" w:cs="Arial" w:eastAsia="Arial" w:hAnsi="Arial"/>
                <w:sz w:val="16"/>
                <w:szCs w:val="16"/>
                <w:color w:val="auto"/>
              </w:rPr>
              <w:t>Repayment of debt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(7,000)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Proceeds from issuance of promissory notes to related parties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8280" w:type="dxa"/>
            <w:vAlign w:val="bottom"/>
          </w:tcPr>
          <w:p>
            <w:pPr>
              <w:ind w:left="460"/>
              <w:spacing w:after="0"/>
              <w:rPr>
                <w:sz w:val="20"/>
                <w:szCs w:val="20"/>
                <w:color w:val="auto"/>
              </w:rPr>
            </w:pPr>
            <w:r>
              <w:rPr>
                <w:rFonts w:ascii="Arial" w:cs="Arial" w:eastAsia="Arial" w:hAnsi="Arial"/>
                <w:sz w:val="16"/>
                <w:szCs w:val="16"/>
                <w:color w:val="auto"/>
              </w:rPr>
              <w:t>Repayment of promissory notes to related parties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(5,000)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Repurchase of common stock</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8280" w:type="dxa"/>
            <w:vAlign w:val="bottom"/>
          </w:tcPr>
          <w:p>
            <w:pPr>
              <w:ind w:left="460"/>
              <w:spacing w:after="0"/>
              <w:rPr>
                <w:sz w:val="20"/>
                <w:szCs w:val="20"/>
                <w:color w:val="auto"/>
              </w:rPr>
            </w:pPr>
            <w:r>
              <w:rPr>
                <w:rFonts w:ascii="Arial" w:cs="Arial" w:eastAsia="Arial" w:hAnsi="Arial"/>
                <w:sz w:val="16"/>
                <w:szCs w:val="16"/>
                <w:color w:val="auto"/>
              </w:rPr>
              <w:t>Proceeds from exercise of stock options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504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Proceeds from issuance of Series B redeemable convertible preferred stock, net of issuance cost of $265</w:t>
            </w: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20,631</w:t>
            </w:r>
          </w:p>
        </w:tc>
        <w:tc>
          <w:tcPr>
            <w:tcW w:w="0" w:type="dxa"/>
            <w:vAlign w:val="bottom"/>
          </w:tcPr>
          <w:p>
            <w:pPr>
              <w:spacing w:after="0"/>
              <w:rPr>
                <w:sz w:val="1"/>
                <w:szCs w:val="1"/>
                <w:color w:val="auto"/>
              </w:rPr>
            </w:pPr>
          </w:p>
        </w:tc>
      </w:tr>
      <w:tr>
        <w:trPr>
          <w:trHeight w:val="206"/>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provided by financing activities</w:t>
            </w: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257,791</w:t>
            </w:r>
          </w:p>
        </w:tc>
        <w:tc>
          <w:tcPr>
            <w:tcW w:w="8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20,633</w:t>
            </w:r>
          </w:p>
        </w:tc>
        <w:tc>
          <w:tcPr>
            <w:tcW w:w="0" w:type="dxa"/>
            <w:vAlign w:val="bottom"/>
          </w:tcPr>
          <w:p>
            <w:pPr>
              <w:spacing w:after="0"/>
              <w:rPr>
                <w:sz w:val="1"/>
                <w:szCs w:val="1"/>
                <w:color w:val="auto"/>
              </w:rPr>
            </w:pPr>
          </w:p>
        </w:tc>
      </w:tr>
      <w:tr>
        <w:trPr>
          <w:trHeight w:val="213"/>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228,786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(5,411)</w:t>
            </w:r>
          </w:p>
        </w:tc>
        <w:tc>
          <w:tcPr>
            <w:tcW w:w="0" w:type="dxa"/>
            <w:vAlign w:val="bottom"/>
          </w:tcPr>
          <w:p>
            <w:pPr>
              <w:spacing w:after="0"/>
              <w:rPr>
                <w:sz w:val="1"/>
                <w:szCs w:val="1"/>
                <w:color w:val="auto"/>
              </w:rPr>
            </w:pPr>
          </w:p>
        </w:tc>
      </w:tr>
      <w:tr>
        <w:trPr>
          <w:trHeight w:val="213"/>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cash equivalents and restricted cash at beginning of period</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12,642</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18,405</w:t>
            </w:r>
          </w:p>
        </w:tc>
        <w:tc>
          <w:tcPr>
            <w:tcW w:w="0" w:type="dxa"/>
            <w:vAlign w:val="bottom"/>
          </w:tcPr>
          <w:p>
            <w:pPr>
              <w:spacing w:after="0"/>
              <w:rPr>
                <w:sz w:val="1"/>
                <w:szCs w:val="1"/>
                <w:color w:val="auto"/>
              </w:rPr>
            </w:pPr>
          </w:p>
        </w:tc>
      </w:tr>
      <w:tr>
        <w:trPr>
          <w:trHeight w:val="235"/>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at end of period</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241,428</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12,994</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SUPPLEMENTAL DISCLOSURES OF OPERATING ACTIVITIES: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2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82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Cash paid for interest</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635</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567</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SUPPLEMENTAL DISCLOSURES OF NON-CASH INVESTING AND FINANCING INFORMATION: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28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82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Property and equipment purchases included in accounts payable and accrued liabilities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460"/>
              <w:spacing w:after="0"/>
              <w:rPr>
                <w:sz w:val="20"/>
                <w:szCs w:val="20"/>
                <w:color w:val="auto"/>
              </w:rPr>
            </w:pPr>
            <w:r>
              <w:rPr>
                <w:rFonts w:ascii="Arial" w:cs="Arial" w:eastAsia="Arial" w:hAnsi="Arial"/>
                <w:sz w:val="16"/>
                <w:szCs w:val="16"/>
                <w:color w:val="auto"/>
              </w:rPr>
              <w:t>Private placement warrants acquired as part of the merger</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280" w:type="dxa"/>
            <w:vAlign w:val="bottom"/>
            <w:vMerge w:val="continue"/>
          </w:tcPr>
          <w:p>
            <w:pPr>
              <w:spacing w:after="0"/>
              <w:rPr>
                <w:sz w:val="16"/>
                <w:szCs w:val="16"/>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19,377</w:t>
            </w:r>
          </w:p>
        </w:tc>
        <w:tc>
          <w:tcPr>
            <w:tcW w:w="80" w:type="dxa"/>
            <w:vAlign w:val="bottom"/>
          </w:tcPr>
          <w:p>
            <w:pPr>
              <w:spacing w:after="0"/>
              <w:rPr>
                <w:sz w:val="16"/>
                <w:szCs w:val="16"/>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2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Issuance of redeemable convertible preferred stock upon exercise of warrants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58,097</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460"/>
              <w:spacing w:after="0"/>
              <w:rPr>
                <w:sz w:val="20"/>
                <w:szCs w:val="20"/>
                <w:color w:val="auto"/>
              </w:rPr>
            </w:pPr>
            <w:r>
              <w:rPr>
                <w:rFonts w:ascii="Arial" w:cs="Arial" w:eastAsia="Arial" w:hAnsi="Arial"/>
                <w:sz w:val="16"/>
                <w:szCs w:val="16"/>
                <w:color w:val="auto"/>
              </w:rPr>
              <w:t>Conversion of redeemable convertible preferred stock to common stock</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280" w:type="dxa"/>
            <w:vAlign w:val="bottom"/>
            <w:vMerge w:val="continue"/>
          </w:tcPr>
          <w:p>
            <w:pPr>
              <w:spacing w:after="0"/>
              <w:rPr>
                <w:sz w:val="16"/>
                <w:szCs w:val="16"/>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97,322</w:t>
            </w:r>
          </w:p>
        </w:tc>
        <w:tc>
          <w:tcPr>
            <w:tcW w:w="80" w:type="dxa"/>
            <w:vAlign w:val="bottom"/>
          </w:tcPr>
          <w:p>
            <w:pPr>
              <w:spacing w:after="0"/>
              <w:rPr>
                <w:sz w:val="16"/>
                <w:szCs w:val="16"/>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40,016</w:t>
            </w:r>
          </w:p>
        </w:tc>
        <w:tc>
          <w:tcPr>
            <w:tcW w:w="0" w:type="dxa"/>
            <w:vAlign w:val="bottom"/>
          </w:tcPr>
          <w:p>
            <w:pPr>
              <w:spacing w:after="0"/>
              <w:rPr>
                <w:sz w:val="1"/>
                <w:szCs w:val="1"/>
                <w:color w:val="auto"/>
              </w:rPr>
            </w:pP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2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Right-of-use assets obtained in exchange for operating lease liability</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6,409</w:t>
            </w:r>
          </w:p>
        </w:tc>
        <w:tc>
          <w:tcPr>
            <w:tcW w:w="0" w:type="dxa"/>
            <w:vAlign w:val="bottom"/>
          </w:tcPr>
          <w:p>
            <w:pPr>
              <w:spacing w:after="0"/>
              <w:rPr>
                <w:sz w:val="1"/>
                <w:szCs w:val="1"/>
                <w:color w:val="auto"/>
              </w:rPr>
            </w:pPr>
          </w:p>
        </w:tc>
      </w:tr>
      <w:tr>
        <w:trPr>
          <w:trHeight w:val="20"/>
        </w:trPr>
        <w:tc>
          <w:tcPr>
            <w:tcW w:w="8280" w:type="dxa"/>
            <w:vAlign w:val="bottom"/>
            <w:vMerge w:val="restart"/>
          </w:tcPr>
          <w:p>
            <w:pPr>
              <w:ind w:left="460"/>
              <w:spacing w:after="0"/>
              <w:rPr>
                <w:sz w:val="20"/>
                <w:szCs w:val="20"/>
                <w:color w:val="auto"/>
              </w:rPr>
            </w:pPr>
            <w:r>
              <w:rPr>
                <w:rFonts w:ascii="Arial" w:cs="Arial" w:eastAsia="Arial" w:hAnsi="Arial"/>
                <w:sz w:val="16"/>
                <w:szCs w:val="16"/>
                <w:color w:val="auto"/>
              </w:rPr>
              <w:t>Issuance of common stock pursuant to the conversion of convertible notes and accrued interest</w:t>
            </w: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8280" w:type="dxa"/>
            <w:vAlign w:val="bottom"/>
            <w:vMerge w:val="continue"/>
          </w:tcPr>
          <w:p>
            <w:pPr>
              <w:spacing w:after="0"/>
              <w:rPr>
                <w:sz w:val="14"/>
                <w:szCs w:val="14"/>
                <w:color w:val="auto"/>
              </w:rPr>
            </w:pPr>
          </w:p>
        </w:tc>
        <w:tc>
          <w:tcPr>
            <w:tcW w:w="340" w:type="dxa"/>
            <w:vAlign w:val="bottom"/>
          </w:tcPr>
          <w:p>
            <w:pPr>
              <w:jc w:val="right"/>
              <w:ind w:right="159"/>
              <w:spacing w:after="0" w:line="166" w:lineRule="exact"/>
              <w:rPr>
                <w:sz w:val="20"/>
                <w:szCs w:val="20"/>
                <w:color w:val="auto"/>
              </w:rPr>
            </w:pPr>
            <w:r>
              <w:rPr>
                <w:rFonts w:ascii="Arial" w:cs="Arial" w:eastAsia="Arial" w:hAnsi="Arial"/>
                <w:sz w:val="16"/>
                <w:szCs w:val="16"/>
                <w:color w:val="auto"/>
                <w:w w:val="89"/>
              </w:rPr>
              <w:t>$</w:t>
            </w:r>
          </w:p>
        </w:tc>
        <w:tc>
          <w:tcPr>
            <w:tcW w:w="1180" w:type="dxa"/>
            <w:vAlign w:val="bottom"/>
            <w:gridSpan w:val="2"/>
          </w:tcPr>
          <w:p>
            <w:pPr>
              <w:jc w:val="right"/>
              <w:ind w:right="160"/>
              <w:spacing w:after="0" w:line="166" w:lineRule="exact"/>
              <w:rPr>
                <w:sz w:val="20"/>
                <w:szCs w:val="20"/>
                <w:color w:val="auto"/>
              </w:rPr>
            </w:pPr>
            <w:r>
              <w:rPr>
                <w:rFonts w:ascii="Arial" w:cs="Arial" w:eastAsia="Arial" w:hAnsi="Arial"/>
                <w:sz w:val="16"/>
                <w:szCs w:val="16"/>
                <w:color w:val="auto"/>
              </w:rPr>
              <w:t>—</w:t>
            </w:r>
          </w:p>
        </w:tc>
        <w:tc>
          <w:tcPr>
            <w:tcW w:w="340" w:type="dxa"/>
            <w:vAlign w:val="bottom"/>
          </w:tcPr>
          <w:p>
            <w:pPr>
              <w:jc w:val="right"/>
              <w:ind w:right="159"/>
              <w:spacing w:after="0" w:line="166" w:lineRule="exact"/>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line="166" w:lineRule="exact"/>
              <w:rPr>
                <w:sz w:val="20"/>
                <w:szCs w:val="20"/>
                <w:color w:val="auto"/>
              </w:rPr>
            </w:pPr>
            <w:r>
              <w:rPr>
                <w:rFonts w:ascii="Arial" w:cs="Arial" w:eastAsia="Arial" w:hAnsi="Arial"/>
                <w:sz w:val="16"/>
                <w:szCs w:val="16"/>
                <w:color w:val="auto"/>
              </w:rPr>
              <w:t>73,003</w:t>
            </w:r>
          </w:p>
        </w:tc>
        <w:tc>
          <w:tcPr>
            <w:tcW w:w="0" w:type="dxa"/>
            <w:vAlign w:val="bottom"/>
          </w:tcPr>
          <w:p>
            <w:pPr>
              <w:spacing w:after="0"/>
              <w:rPr>
                <w:sz w:val="1"/>
                <w:szCs w:val="1"/>
                <w:color w:val="auto"/>
              </w:rPr>
            </w:pP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82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Reclassification of common stock on exercise of stock options with notes receivable from stockholders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0"/>
        </w:trPr>
        <w:tc>
          <w:tcPr>
            <w:tcW w:w="8280" w:type="dxa"/>
            <w:vAlign w:val="bottom"/>
            <w:vMerge w:val="restart"/>
          </w:tcPr>
          <w:p>
            <w:pPr>
              <w:ind w:left="460"/>
              <w:spacing w:after="0"/>
              <w:rPr>
                <w:sz w:val="20"/>
                <w:szCs w:val="20"/>
                <w:color w:val="auto"/>
              </w:rPr>
            </w:pPr>
            <w:r>
              <w:rPr>
                <w:rFonts w:ascii="Arial" w:cs="Arial" w:eastAsia="Arial" w:hAnsi="Arial"/>
                <w:sz w:val="16"/>
                <w:szCs w:val="16"/>
                <w:color w:val="auto"/>
              </w:rPr>
              <w:t>Warrants issued in connection with the closing of the Series B redeemable convertible preferred stock</w:t>
            </w: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280" w:type="dxa"/>
            <w:vAlign w:val="bottom"/>
            <w:vMerge w:val="continue"/>
          </w:tcPr>
          <w:p>
            <w:pPr>
              <w:spacing w:after="0"/>
              <w:rPr>
                <w:sz w:val="16"/>
                <w:szCs w:val="16"/>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691</w:t>
            </w:r>
          </w:p>
        </w:tc>
        <w:tc>
          <w:tcPr>
            <w:tcW w:w="0" w:type="dxa"/>
            <w:vAlign w:val="bottom"/>
          </w:tcPr>
          <w:p>
            <w:pPr>
              <w:spacing w:after="0"/>
              <w:rPr>
                <w:sz w:val="1"/>
                <w:szCs w:val="1"/>
                <w:color w:val="auto"/>
              </w:rPr>
            </w:pP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2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Recognition of tranche right liability upon issuance</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1,610</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OUSTER,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 and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7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Ouster, Inc. was incorporated in the state of Delaware on June 4, 2020. The Company’s operating subsidiary, Ouster Technologies, Inc. (“OTI” and prior to the Merger (as defined below), named Ouster, Inc.), was incorporated in the state of Delaware on June 30, 2015. The Company is a leading provider of high-resolution digital lidar sensors that offer advanced 3D vision to machinery, vehicles, robots, and fixed infrastructure assets, allowing each to understand and visualize the surrounding world and ultimately enabling safe operation and ubiquitous autonomy. Unless the context otherwise requires, references in this subsection to “the Company” refer to the business and operations of OTI (formerly known as Ouster, Inc.) and its consolidated subsidiaries prior to the Merger (as defined below) and to Ouster, Inc. (formerly known as Colonnade Acquisition Corp.) and its consolidated subsidiaries following the consummation of the Merger.</w:t>
      </w:r>
    </w:p>
    <w:p>
      <w:pPr>
        <w:spacing w:after="0" w:line="141"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Colonnade Acquisition Corp. (“CLA”), the Company’s predecessor, was originally a blank check company incorporated as a Cayman Islands exempted company on June 4, 2020. The Company was formed for the purpose of effecting a merger, share exchange, asset acquisition, share purchase, reorganization or similar business combination with one or more businesses. On March 11, 2021, CLA consummated a merger with the Company pursuant to an Agreement and Plan of Merger (the “Merger Agreement”) dated as of December 21, 2020, details of which are included below.</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71"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The unaudited condensed consolidated financial statements include the accounts of the Company and its subsidiaries (all of which are wholly owned) and have been prepared in conformity with U.S. generally accepted accounting principles (“US GAAP”) applicable to interim periods. The functional currency for the Company is the United States dollar. All intercompany balances and transactions have been eliminated in consolidation.</w:t>
      </w:r>
    </w:p>
    <w:p>
      <w:pPr>
        <w:spacing w:after="0" w:line="11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unaudited condensed consolidated financial statements include all adjustments (consisting of only normal recurring adjustments) necessary for a fair statement of the results of operations for the periods shown. The unaudited condensed consolidated financial statements should be read in conjunction with the Company’s audited consolidated financial statements as of and for the year ended December 31, 2020 and the notes related thereto, included as Exhibit 99.1 to the Form 8-K filed with the Securities and Exchange Commission (“SEC”) on March 15, 2021, as amended on July 12, 2021. The year-end condensed balance sheet data was derived from audited financial statements, but does not include all disclosures required by US GAAP. Certain information and note disclosures normally included in the audited financial statements prepared in accordance with US GAAP have been condensed or omitted from this report, as is permitted by such rules and regulations. The results of operations for any interim period are not necessarily indicative of the results to be expected for the year ending December 31, 2021 or for any other future years or interim periods.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the COVID-19 Pandemic</w:t>
      </w:r>
    </w:p>
    <w:p>
      <w:pPr>
        <w:spacing w:after="0" w:line="17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has been actively monitoring the ongoing COVID-19 pandemic situation and its impact on the Company’s business. In response to the pandemic, numerous state and local jurisdictions have imposed “shelter-in-place” orders, quarantines and other restrictions. In the United States, governmental authorities have, at times, recommended, and in certain cases required, that elective, specialty and other procedures and appointments, be suspended or canceled. Similarly, in March and December 2020, the governor of California, where the Company’s headquarters are located, issued “stay at home” orders limiting non-essential activities, travel and business operations. Such orders or restrictions resulted in reduced operations at the Company’s headquarters (including its manufacturing facility), work stoppages, slowdowns and delays, travel restrictions and cancellation of events and have restricted the efforts of the Company’s sales representatives, thereby significantly and negatively impacting the Company’s operations.</w:t>
      </w:r>
    </w:p>
    <w:p>
      <w:pPr>
        <w:spacing w:after="0" w:line="112"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The full extent to which the COVID-19 pandemic will directly or indirectly impact our business, results of operations and financial condition, including sales, expenses, reserves and allowances, manufacturing, research and development costs and employee-related amounts, will depend on future developments that are highly uncertain, including as a result of new information that may emerge concerning COVID-19, including variants, the progression of vaccination roll-outs, and the actions taken to contain it or treat COVID-19, as well as the economic impact on local, regional, national and international customers and markets. The situation surrounding COVID-19 remains fluid and the potential for a material impact on the</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right="580"/>
        <w:spacing w:after="0" w:line="263" w:lineRule="auto"/>
        <w:rPr>
          <w:sz w:val="20"/>
          <w:szCs w:val="20"/>
          <w:color w:val="auto"/>
        </w:rPr>
      </w:pPr>
      <w:r>
        <w:rPr>
          <w:rFonts w:ascii="Arial" w:cs="Arial" w:eastAsia="Arial" w:hAnsi="Arial"/>
          <w:sz w:val="18"/>
          <w:szCs w:val="18"/>
          <w:color w:val="auto"/>
        </w:rPr>
        <w:t>Company increases the longer the virus impacts the level of economic activity in the United States and globally. Given the ongoing evolution of the COVID-19 and the global responses to curb its spread, the Company is not able to estimate the effects of the COVID-19 on its results of operations, financial condition, or liquidity for the year ending December 31, 2021 and beyond.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71"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The accompanying unaudited condensed consolidated financial statements have been prepared on a going concern basis. The Company has experienced recurring losses from operations, and negative cash flows from operations. As of June 30, 2021, the Company had an accumulated deficit of approximately $262.3 million. The Company has historically financed its operations primarily through the Merger and related transactions, the sale of convertible notes, equity securities, proceeds from debt and, to a lesser extent, cash received from sales. Management expects significant operating losses and negative cash flows from operations to continue for the foreseeable future. The Company expects to continue investing in product development and sales and marketing activities. The long-term continuation of the Company’s business plan is dependent upon the generation of sufficient revenues from its products to offset expenses. In the event that the Company does not generate sufficient cash flows from operations and is unable to obtain funding, the Company will be forced to delay, reduce, or eliminate some or all of its discretionary spending, which could adversely affect the Company’s business prospects, ability to meet long-term liquidity needs or ability to continue operations. The Company has concluded that its cash and cash equivalents as of June 30, 2021 are sufficient for the Company to continue as a going concern for at least one year from the date these unaudited condensed consolidated financial statements are available for issuance.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Agreement with Colonnade Acquisition Corp. and Beam Merger Sub, Inc.</w:t>
      </w:r>
    </w:p>
    <w:p>
      <w:pPr>
        <w:spacing w:after="0" w:line="171" w:lineRule="exact"/>
        <w:rPr>
          <w:sz w:val="20"/>
          <w:szCs w:val="20"/>
          <w:color w:val="auto"/>
        </w:rPr>
      </w:pPr>
    </w:p>
    <w:p>
      <w:pPr>
        <w:ind w:right="520"/>
        <w:spacing w:after="0" w:line="275" w:lineRule="auto"/>
        <w:rPr>
          <w:sz w:val="20"/>
          <w:szCs w:val="20"/>
          <w:color w:val="auto"/>
        </w:rPr>
      </w:pPr>
      <w:r>
        <w:rPr>
          <w:rFonts w:ascii="Arial" w:cs="Arial" w:eastAsia="Arial" w:hAnsi="Arial"/>
          <w:sz w:val="17"/>
          <w:szCs w:val="17"/>
          <w:color w:val="auto"/>
        </w:rPr>
        <w:t>On December 21, 2020, OTI entered into the Merger Agreement with CLA and Beam Merger Sub, Inc. (“Merger Sub”), a Delaware corporation and subsidiary of CLA. OTI’s board of directors unanimously approved OTI’s entry into the Merger Agreement, and on March 11, 2021, the transactions contemplated by the Merger Agreement were consummated. Pursuant to the terms of the Merger Agreement, (i) CLA domesticated as a corporation incorporated under the laws of the State of Delaware and changed its name to “Ouster, Inc.” and (ii) Merger Sub merged with and into OTI (such transactions contemplated by the Merger Agreement, the “Merger”), with OTI surviving the Merger.</w:t>
      </w:r>
    </w:p>
    <w:p>
      <w:pPr>
        <w:spacing w:after="0" w:line="12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As a result of the Merger, among other things, (1) each of the then issued and outstanding 5,000,000 CLA Class B ordinary shares, par value $0.0001 per share, of CLA (the “CLA Class B ordinary shares”) converted automatically, on a one-for-one basis, into a CLA Class A ordinary share (as defined below),</w:t>
      </w:r>
    </w:p>
    <w:p>
      <w:pPr>
        <w:ind w:firstLine="8"/>
        <w:spacing w:after="0" w:line="268" w:lineRule="auto"/>
        <w:tabs>
          <w:tab w:leader="none" w:pos="255" w:val="left"/>
        </w:tabs>
        <w:numPr>
          <w:ilvl w:val="0"/>
          <w:numId w:val="5"/>
        </w:numPr>
        <w:rPr>
          <w:rFonts w:ascii="Arial" w:cs="Arial" w:eastAsia="Arial" w:hAnsi="Arial"/>
          <w:sz w:val="17"/>
          <w:szCs w:val="17"/>
          <w:color w:val="auto"/>
        </w:rPr>
      </w:pPr>
      <w:r>
        <w:rPr>
          <w:rFonts w:ascii="Arial" w:cs="Arial" w:eastAsia="Arial" w:hAnsi="Arial"/>
          <w:sz w:val="17"/>
          <w:szCs w:val="17"/>
          <w:color w:val="auto"/>
        </w:rPr>
        <w:t>immediately following the conversion described in clause (1), each of the then issued and outstanding 25,000,000 Class A ordinary shares, par value $0.0001 per share, of CLA (the “CLA Class A ordinary shares”), converted automatically, on a one-for-one basis, into a share of common stock, par value $0.0001 per share, of Ouster (the “Ouster common stock”), (3) each of the then issued and outstanding 10,000,000 redeemable warrants of CLA (the “CLA warrants”) converted automatically into a redeemable warrant to purchase one share of Ouster common stock (the “Public warrants”) pursuant to the Warrant Agreement, dated August 20, 2020 (the “Warrant Agreement”), between CLA and Continental Stock Transfer &amp; Trust Company (“Continental”), as warrant agent, and (4) each of the then issued and outstanding units of CLA that had not been previously separated into the underlying CLA Class A ordinary shares and underlying CLA warrants upon the request of the holder thereof (the “CLA units”), were cancelled and entitled the holder thereof to one share of Ouster common stock and one-half of one Public warrant, and (5) each of the then issued and outstanding 6,000,000 private placement warrants of CLA (the “Private Placement warrants”) converted automatically into a Public warrant pursuant to the Warrant Agreement. No fractional Public warrants were issued upon separation of the CLA units.</w:t>
      </w:r>
    </w:p>
    <w:p>
      <w:pPr>
        <w:spacing w:after="0" w:line="125"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Immediately prior to the effective time of the Merger, (1) each share of OTI’s Series B Preferred Stock, par value $0.00001 per share (the “OTI Preferred Stock”), converted into one share of common stock, par value $0.00001 per share, of OTI (the “OTI common stock” and, together with OTI Preferred Stock, the “OTI Capital Stock”) (such conversion, the “OTI Preferred Conversion”) and (2) all of the outstanding warrants to purchase shares of OTI Capital Stock were exercised in full or terminated in accordance with their respective terms (the “OTI Warrant Settlement”).</w:t>
      </w:r>
    </w:p>
    <w:p>
      <w:pPr>
        <w:spacing w:after="0" w:line="117"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As a result of and upon the closing of the Merger, among other things, all shares of OTI Capital Stock (after giving effect to the OTI Warrant Settlement) outstanding immediately prior to the closing of the Merger together with shares of OTI common stock reserved in respect of options to purchase shares of OTI common stock and restricted shares of OTI common stock (together, the “OTI Awards”) outstanding immediately prior to the closing of the Merger that were converted into awards based on Ouster common stock, were cancelled in exchange for the right to receive, or the reservation of, an aggregate of 150,000,000 shares of Ouster common stock (at a deemed value of $10.00 per share), which, in the case of OTI Awards, were shares underlying awards based on Ouster common stock, representing a fully-diluted pre-transaction. Upon closing of the Merger, the Company</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received gross proceeds of $299.9 million from the Merger and private offering, offset by $8.5 million of pre-merger costs relating to CLA and offerings costs of $26.6 million.</w:t>
      </w:r>
    </w:p>
    <w:p>
      <w:pPr>
        <w:spacing w:after="0" w:line="116"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Merger was accounted for as a reverse recapitalization under US GAAP. Under this method of accounting, CLA is treated as the “acquired” company for financial reporting purposes. This determination is primarily based on OTI stockholders comprising a relative majority of the voting power of the Company and having the ability to nominate the members of the board of directors of the Company after the Merger, OTI’s operations prior to the Merger comprising the only ongoing operations of the Company following the Merger, and OTI’s senior management prior to the Merger comprising a majority of the senior management of the Company following the Merger. Accordingly, for accounting purposes, the financial statements of the Company represent a continuation of the financial statements of OTI with the Merger being treated as the equivalent of OTI issuing stock for the net assets of CLA, accompanied by a recapitalization whereby no goodwill or other intangible assets are recorded. Transactions and balances prior to the Merger are those of OTI. The shares and net loss per share available to holders of OTI’s common stock prior to the Merger have been retroactively restated as shares reflecting the exchange ratio established in the Merger Agreement.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PIPE Investment</w:t>
      </w:r>
    </w:p>
    <w:p>
      <w:pPr>
        <w:spacing w:after="0" w:line="17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On December 21, 2020, concurrently with the execution of the Merger Agreement, CLA entered into subscription agreements with certain institutional and accredited investors (collectively, the “PIPE Investors”), pursuant to which the PIPE Investors agreed to purchase, in the aggregate, 10,000,000 shares of Ouster common stock at $10.00 per share for an aggregate commitment amount of $100,000,000 (the “PIPE Investment”), a portion of which was funded by certain affiliates of Colonnade Sponsor LLC, CLA’s sponsor (the “Sponsor”). The PIPE Investment was consummated substantially concurrently with the closing of the Merger.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June 30, 2021, there were no significant changes to the Company’s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7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Based on our public float as of June 30, 2021, we expect to become a large accelerated filer, and lose emerging growth company status, as of December 31, 2021. As of December 31, 2021, we will be required to adopt new or revised accounting standards when they are applicable to public companies that are not emerging growth companies.</w:t>
      </w:r>
    </w:p>
    <w:p>
      <w:pPr>
        <w:spacing w:after="0" w:line="13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June 2016, the FASB issued ASU 2016-13, Financial Instruments—Credit Losses (Topic 326), to introduce a new impairment model for recognizing credit losses on financial instruments based on an estimate of current expected credit losses (“ECL”). Under the new model, an entity is required to estimate ECL on available-for-sale (AFS) debt securities only when the fair value is below the amortized cost of the asset and is no longer based on an impairment being “other-than-temporary”. The new model also requires the impairment calculation on an individual security level and requires an entity to use the present value of cash flows when estimating the ECL. The credit-related losses are required to be recognized through earnings and non-credit related losses are reported in other comprehensive income. The Company will adopt ASC 2016-13 for the December 31, 2021 annual period, with a modified retrospective application to all outstanding instruments and a cumulative effect adjustment recorded to opening retained earnings as of January 1, 2021. The Company does not believe the adoption of this new guidance will have a material impact on its consolidated financial statements.</w:t>
      </w:r>
    </w:p>
    <w:p>
      <w:pPr>
        <w:spacing w:after="0" w:line="111"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In August 2018, the FASB issued ASU 2018-15, Intangibles-Goodwill and Other-Internal-Use Software (Subtopic 350-40): Customer’s Accounting for Implementation Costs Incurred in a Cloud Computing Arrangement That Is a Service Contract, which aligns the requirements for capitalizing implementation costs incurred in a cloud computing arrangement that is a service contract with the requirements for capitalizing implementation costs incurred to develop or obtain internal-use software. The Company will adopt ASC 2018-15 for the December 31, 2021 annual period. The Company does not believe the adoption of this new guidance will have a material impact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August 2020, the FASB issued ASU No. 2020-06, Debt – Debt with Conversion and Other Options (Subtopic 470-20) and Derivatives and Hedging – Contracts in Entity’s Own Equity (Subtopic 815-40): Accounting for Convertible Instruments and Contracts in an Entity’s Own Equity (“ASU 2020-06). ASU 2020-06 simplifies the accounting for convertible debt and convertible preferred stock by removing the requirements to separately present certain conversion features in equity. In addition, the amendments in the ASU also simplify the guidance in ASC 815-40, Derivatives and Hedging: Contracts in Entity’s Own Equity, by removing certain criteria that must be satisfied in order to classify a contract as equity, which is expected to decrease the number of freestanding instruments and embedded derivatives accounted for as assets or liabilities. Finally, the amendments revise the guidance on calculating earnings per share, requiring use of the if-converted method for all convertible instruments and rescinding an entity’s ability to rebut the presumption of share settlement for instruments that may be settled in cash or other assets. The new standard is effective for the Company for annual periods beginning December 15, 2021. The Company is currently evaluating the impact of the adoption of this ASU on the Company’s condensed consolidated financial statements.</w:t>
      </w:r>
    </w:p>
    <w:p>
      <w:pPr>
        <w:spacing w:after="0" w:line="14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There have been no other newly issued or newly applicable accounting pronouncements that do not require adoption until a future date that have had, or are expected to have, a significant impact on the Company’s condensed consolidated financial statements.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71"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Financial instruments that potentially subject the Company to credit risk consist primarily of cash, cash equivalents, and restricted cash, and accounts receivable. Cash, cash equivalents and restricted cash are deposited with federally insured commercial banks in the United States and at times cash balances may be in excess of federal insurance limits. The Company generally does not require collateral or other security deposits for accounts receivable.</w:t>
      </w:r>
    </w:p>
    <w:p>
      <w:pPr>
        <w:spacing w:after="0" w:line="95"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To reduce credit risk, the Company considers customer creditworthiness, past transaction history with the customer, current economic industry trends, and changes in customer payment terms when determining the collectability of specific customer accounts. Past due balances over 90 days and other higher risk amounts are reviewed individually for collectability. Based on management’s assessment, the Company provides for estimated uncollectible amounts through a charge to earnings and a credit to valuation allowance. Balances that remain outstanding after the Company has used reasonable collection efforts are written off through a charge to the valuation allowance and a credit to accounts receivable.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from the Company’s major customers representing 10% or more of total accounts receivable was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4"/>
                <w:szCs w:val="14"/>
                <w:color w:val="auto"/>
              </w:rPr>
            </w:pPr>
          </w:p>
        </w:tc>
        <w:tc>
          <w:tcPr>
            <w:tcW w:w="1140" w:type="dxa"/>
            <w:vAlign w:val="bottom"/>
          </w:tcPr>
          <w:p>
            <w:pPr>
              <w:jc w:val="center"/>
              <w:ind w:left="208"/>
              <w:spacing w:after="0"/>
              <w:rPr>
                <w:sz w:val="20"/>
                <w:szCs w:val="20"/>
                <w:color w:val="auto"/>
              </w:rPr>
            </w:pPr>
            <w:r>
              <w:rPr>
                <w:rFonts w:ascii="Arial" w:cs="Arial" w:eastAsia="Arial" w:hAnsi="Arial"/>
                <w:sz w:val="14"/>
                <w:szCs w:val="14"/>
                <w:b w:val="1"/>
                <w:bCs w:val="1"/>
                <w:color w:val="auto"/>
                <w:w w:val="89"/>
              </w:rPr>
              <w:t>June 30,</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jc w:val="right"/>
              <w:ind w:right="279"/>
              <w:spacing w:after="0"/>
              <w:rPr>
                <w:sz w:val="20"/>
                <w:szCs w:val="20"/>
                <w:color w:val="auto"/>
              </w:rPr>
            </w:pPr>
            <w:r>
              <w:rPr>
                <w:rFonts w:ascii="Arial" w:cs="Arial" w:eastAsia="Arial" w:hAnsi="Arial"/>
                <w:sz w:val="14"/>
                <w:szCs w:val="14"/>
                <w:b w:val="1"/>
                <w:bCs w:val="1"/>
                <w:color w:val="auto"/>
              </w:rPr>
              <w:t>December 31,</w:t>
            </w:r>
          </w:p>
        </w:tc>
      </w:tr>
      <w:tr>
        <w:trPr>
          <w:trHeight w:val="188"/>
        </w:trPr>
        <w:tc>
          <w:tcPr>
            <w:tcW w:w="9300" w:type="dxa"/>
            <w:vAlign w:val="bottom"/>
            <w:gridSpan w:val="2"/>
          </w:tcPr>
          <w:p>
            <w:pPr>
              <w:jc w:val="right"/>
              <w:ind w:right="208"/>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jc w:val="right"/>
              <w:ind w:right="559"/>
              <w:spacing w:after="0"/>
              <w:rPr>
                <w:sz w:val="20"/>
                <w:szCs w:val="20"/>
                <w:color w:val="auto"/>
              </w:rPr>
            </w:pPr>
            <w:r>
              <w:rPr>
                <w:rFonts w:ascii="Arial" w:cs="Arial" w:eastAsia="Arial" w:hAnsi="Arial"/>
                <w:sz w:val="14"/>
                <w:szCs w:val="14"/>
                <w:b w:val="1"/>
                <w:bCs w:val="1"/>
                <w:color w:val="auto"/>
              </w:rPr>
              <w:t>2020</w:t>
            </w:r>
          </w:p>
        </w:tc>
      </w:tr>
      <w:tr>
        <w:trPr>
          <w:trHeight w:val="224"/>
        </w:trPr>
        <w:tc>
          <w:tcPr>
            <w:tcW w:w="8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A</w:t>
            </w:r>
          </w:p>
        </w:tc>
        <w:tc>
          <w:tcPr>
            <w:tcW w:w="114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13 %</w:t>
            </w:r>
          </w:p>
        </w:tc>
      </w:tr>
      <w:tr>
        <w:trPr>
          <w:trHeight w:val="230"/>
        </w:trPr>
        <w:tc>
          <w:tcPr>
            <w:tcW w:w="9300" w:type="dxa"/>
            <w:vAlign w:val="bottom"/>
            <w:gridSpan w:val="2"/>
          </w:tcPr>
          <w:p>
            <w:pPr>
              <w:ind w:left="20"/>
              <w:spacing w:after="0"/>
              <w:rPr>
                <w:sz w:val="20"/>
                <w:szCs w:val="20"/>
                <w:color w:val="auto"/>
              </w:rPr>
            </w:pPr>
            <w:r>
              <w:rPr>
                <w:rFonts w:ascii="Arial" w:cs="Arial" w:eastAsia="Arial" w:hAnsi="Arial"/>
                <w:sz w:val="18"/>
                <w:szCs w:val="18"/>
                <w:color w:val="auto"/>
              </w:rPr>
              <w:t>Customer B</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23 %</w:t>
            </w: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 Customer accounted for less than 10% of total accounts receivable in the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Revenue from the Company’s major customers representing 10% or more of total revenue was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20" w:type="dxa"/>
            <w:vAlign w:val="bottom"/>
          </w:tcPr>
          <w:p>
            <w:pPr>
              <w:spacing w:after="0"/>
              <w:rPr>
                <w:sz w:val="16"/>
                <w:szCs w:val="16"/>
                <w:color w:val="auto"/>
              </w:rPr>
            </w:pPr>
          </w:p>
        </w:tc>
        <w:tc>
          <w:tcPr>
            <w:tcW w:w="2500" w:type="dxa"/>
            <w:vAlign w:val="bottom"/>
            <w:tcBorders>
              <w:bottom w:val="single" w:sz="8" w:color="auto"/>
            </w:tcBorders>
            <w:gridSpan w:val="4"/>
          </w:tcPr>
          <w:p>
            <w:pPr>
              <w:ind w:left="560"/>
              <w:spacing w:after="0"/>
              <w:rPr>
                <w:sz w:val="20"/>
                <w:szCs w:val="20"/>
                <w:color w:val="auto"/>
              </w:rPr>
            </w:pPr>
            <w:r>
              <w:rPr>
                <w:rFonts w:ascii="Arial" w:cs="Arial" w:eastAsia="Arial" w:hAnsi="Arial"/>
                <w:sz w:val="14"/>
                <w:szCs w:val="14"/>
                <w:b w:val="1"/>
                <w:bCs w:val="1"/>
                <w:color w:val="auto"/>
                <w:w w:val="96"/>
              </w:rPr>
              <w:t>Three Months Ended June 30,</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140" w:type="dxa"/>
            <w:vAlign w:val="bottom"/>
            <w:tcBorders>
              <w:bottom w:val="single" w:sz="8" w:color="auto"/>
            </w:tcBorders>
            <w:gridSpan w:val="3"/>
          </w:tcPr>
          <w:p>
            <w:pPr>
              <w:jc w:val="right"/>
              <w:ind w:right="656"/>
              <w:spacing w:after="0"/>
              <w:rPr>
                <w:sz w:val="20"/>
                <w:szCs w:val="20"/>
                <w:color w:val="auto"/>
              </w:rPr>
            </w:pPr>
            <w:r>
              <w:rPr>
                <w:rFonts w:ascii="Arial" w:cs="Arial" w:eastAsia="Arial" w:hAnsi="Arial"/>
                <w:sz w:val="14"/>
                <w:szCs w:val="14"/>
                <w:b w:val="1"/>
                <w:bCs w:val="1"/>
                <w:color w:val="auto"/>
              </w:rPr>
              <w:t>Six Months Ended June 30,</w:t>
            </w:r>
          </w:p>
        </w:tc>
      </w:tr>
      <w:tr>
        <w:trPr>
          <w:trHeight w:val="186"/>
        </w:trPr>
        <w:tc>
          <w:tcPr>
            <w:tcW w:w="5020" w:type="dxa"/>
            <w:vAlign w:val="bottom"/>
          </w:tcPr>
          <w:p>
            <w:pPr>
              <w:spacing w:after="0"/>
              <w:rPr>
                <w:sz w:val="16"/>
                <w:szCs w:val="16"/>
                <w:color w:val="auto"/>
              </w:rPr>
            </w:pPr>
          </w:p>
        </w:tc>
        <w:tc>
          <w:tcPr>
            <w:tcW w:w="1040" w:type="dxa"/>
            <w:vAlign w:val="bottom"/>
          </w:tcPr>
          <w:p>
            <w:pPr>
              <w:ind w:left="540"/>
              <w:spacing w:after="0"/>
              <w:rPr>
                <w:sz w:val="20"/>
                <w:szCs w:val="20"/>
                <w:color w:val="auto"/>
              </w:rPr>
            </w:pPr>
            <w:r>
              <w:rPr>
                <w:rFonts w:ascii="Arial" w:cs="Arial" w:eastAsia="Arial" w:hAnsi="Arial"/>
                <w:sz w:val="14"/>
                <w:szCs w:val="14"/>
                <w:b w:val="1"/>
                <w:bCs w:val="1"/>
                <w:color w:val="auto"/>
              </w:rPr>
              <w:t>2021</w:t>
            </w:r>
          </w:p>
        </w:tc>
        <w:tc>
          <w:tcPr>
            <w:tcW w:w="14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2020</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jc w:val="right"/>
              <w:ind w:right="53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520" w:type="dxa"/>
            <w:vAlign w:val="bottom"/>
          </w:tcPr>
          <w:p>
            <w:pPr>
              <w:jc w:val="right"/>
              <w:ind w:right="536"/>
              <w:spacing w:after="0"/>
              <w:rPr>
                <w:sz w:val="20"/>
                <w:szCs w:val="20"/>
                <w:color w:val="auto"/>
              </w:rPr>
            </w:pPr>
            <w:r>
              <w:rPr>
                <w:rFonts w:ascii="Arial" w:cs="Arial" w:eastAsia="Arial" w:hAnsi="Arial"/>
                <w:sz w:val="14"/>
                <w:szCs w:val="14"/>
                <w:b w:val="1"/>
                <w:bCs w:val="1"/>
                <w:color w:val="auto"/>
              </w:rPr>
              <w:t>2020</w:t>
            </w:r>
          </w:p>
        </w:tc>
      </w:tr>
      <w:tr>
        <w:trPr>
          <w:trHeight w:val="226"/>
        </w:trPr>
        <w:tc>
          <w:tcPr>
            <w:tcW w:w="5020" w:type="dxa"/>
            <w:vAlign w:val="bottom"/>
          </w:tcPr>
          <w:p>
            <w:pPr>
              <w:ind w:left="20"/>
              <w:spacing w:after="0"/>
              <w:rPr>
                <w:sz w:val="20"/>
                <w:szCs w:val="20"/>
                <w:color w:val="auto"/>
              </w:rPr>
            </w:pPr>
            <w:r>
              <w:rPr>
                <w:rFonts w:ascii="Arial" w:cs="Arial" w:eastAsia="Arial" w:hAnsi="Arial"/>
                <w:sz w:val="18"/>
                <w:szCs w:val="18"/>
                <w:color w:val="auto"/>
              </w:rPr>
              <w:t>Customer C</w:t>
            </w:r>
          </w:p>
        </w:tc>
        <w:tc>
          <w:tcPr>
            <w:tcW w:w="104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15 %</w:t>
            </w:r>
          </w:p>
        </w:tc>
        <w:tc>
          <w:tcPr>
            <w:tcW w:w="100" w:type="dxa"/>
            <w:vAlign w:val="bottom"/>
          </w:tcPr>
          <w:p>
            <w:pPr>
              <w:spacing w:after="0"/>
              <w:rPr>
                <w:sz w:val="19"/>
                <w:szCs w:val="19"/>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16 %</w:t>
            </w:r>
          </w:p>
        </w:tc>
      </w:tr>
      <w:tr>
        <w:trPr>
          <w:trHeight w:val="229"/>
        </w:trPr>
        <w:tc>
          <w:tcPr>
            <w:tcW w:w="6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Customer D</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30 %</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 Customer accounted for less than 10% of total revenue in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supplier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Purchases from the Company’s major suppliers representing 10% or more of total purchases were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40" w:type="dxa"/>
            <w:vAlign w:val="bottom"/>
          </w:tcPr>
          <w:p>
            <w:pPr>
              <w:spacing w:after="0"/>
              <w:rPr>
                <w:sz w:val="16"/>
                <w:szCs w:val="16"/>
                <w:color w:val="auto"/>
              </w:rPr>
            </w:pPr>
          </w:p>
        </w:tc>
        <w:tc>
          <w:tcPr>
            <w:tcW w:w="2600" w:type="dxa"/>
            <w:vAlign w:val="bottom"/>
            <w:tcBorders>
              <w:bottom w:val="single" w:sz="8" w:color="auto"/>
            </w:tcBorders>
            <w:gridSpan w:val="4"/>
          </w:tcPr>
          <w:p>
            <w:pPr>
              <w:ind w:left="620"/>
              <w:spacing w:after="0"/>
              <w:rPr>
                <w:sz w:val="20"/>
                <w:szCs w:val="20"/>
                <w:color w:val="auto"/>
              </w:rPr>
            </w:pPr>
            <w:r>
              <w:rPr>
                <w:rFonts w:ascii="Arial" w:cs="Arial" w:eastAsia="Arial" w:hAnsi="Arial"/>
                <w:sz w:val="14"/>
                <w:szCs w:val="14"/>
                <w:b w:val="1"/>
                <w:bCs w:val="1"/>
                <w:color w:val="auto"/>
                <w:w w:val="98"/>
              </w:rPr>
              <w:t>Three Months Ended June 30,</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100" w:type="dxa"/>
            <w:vAlign w:val="bottom"/>
            <w:tcBorders>
              <w:bottom w:val="single" w:sz="8" w:color="auto"/>
            </w:tcBorders>
            <w:gridSpan w:val="3"/>
          </w:tcPr>
          <w:p>
            <w:pPr>
              <w:jc w:val="right"/>
              <w:ind w:right="636"/>
              <w:spacing w:after="0"/>
              <w:rPr>
                <w:sz w:val="20"/>
                <w:szCs w:val="20"/>
                <w:color w:val="auto"/>
              </w:rPr>
            </w:pPr>
            <w:r>
              <w:rPr>
                <w:rFonts w:ascii="Arial" w:cs="Arial" w:eastAsia="Arial" w:hAnsi="Arial"/>
                <w:sz w:val="14"/>
                <w:szCs w:val="14"/>
                <w:b w:val="1"/>
                <w:bCs w:val="1"/>
                <w:color w:val="auto"/>
              </w:rPr>
              <w:t>Six Months Ended June 30,</w:t>
            </w:r>
          </w:p>
        </w:tc>
      </w:tr>
      <w:tr>
        <w:trPr>
          <w:trHeight w:val="186"/>
        </w:trPr>
        <w:tc>
          <w:tcPr>
            <w:tcW w:w="4940" w:type="dxa"/>
            <w:vAlign w:val="bottom"/>
          </w:tcPr>
          <w:p>
            <w:pPr>
              <w:spacing w:after="0"/>
              <w:rPr>
                <w:sz w:val="16"/>
                <w:szCs w:val="16"/>
                <w:color w:val="auto"/>
              </w:rPr>
            </w:pPr>
          </w:p>
        </w:tc>
        <w:tc>
          <w:tcPr>
            <w:tcW w:w="1000" w:type="dxa"/>
            <w:vAlign w:val="bottom"/>
          </w:tcPr>
          <w:p>
            <w:pPr>
              <w:ind w:left="620"/>
              <w:spacing w:after="0"/>
              <w:rPr>
                <w:sz w:val="20"/>
                <w:szCs w:val="20"/>
                <w:color w:val="auto"/>
              </w:rPr>
            </w:pPr>
            <w:r>
              <w:rPr>
                <w:rFonts w:ascii="Arial" w:cs="Arial" w:eastAsia="Arial" w:hAnsi="Arial"/>
                <w:sz w:val="14"/>
                <w:szCs w:val="14"/>
                <w:b w:val="1"/>
                <w:bCs w:val="1"/>
                <w:color w:val="auto"/>
              </w:rPr>
              <w:t>2021</w:t>
            </w:r>
          </w:p>
        </w:tc>
        <w:tc>
          <w:tcPr>
            <w:tcW w:w="16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2020</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jc w:val="right"/>
              <w:ind w:right="539"/>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1520" w:type="dxa"/>
            <w:vAlign w:val="bottom"/>
          </w:tcPr>
          <w:p>
            <w:pPr>
              <w:jc w:val="right"/>
              <w:ind w:right="536"/>
              <w:spacing w:after="0"/>
              <w:rPr>
                <w:sz w:val="20"/>
                <w:szCs w:val="20"/>
                <w:color w:val="auto"/>
              </w:rPr>
            </w:pPr>
            <w:r>
              <w:rPr>
                <w:rFonts w:ascii="Arial" w:cs="Arial" w:eastAsia="Arial" w:hAnsi="Arial"/>
                <w:sz w:val="14"/>
                <w:szCs w:val="14"/>
                <w:b w:val="1"/>
                <w:bCs w:val="1"/>
                <w:color w:val="auto"/>
              </w:rPr>
              <w:t>2020</w:t>
            </w:r>
          </w:p>
        </w:tc>
      </w:tr>
      <w:tr>
        <w:trPr>
          <w:trHeight w:val="226"/>
        </w:trPr>
        <w:tc>
          <w:tcPr>
            <w:tcW w:w="4940" w:type="dxa"/>
            <w:vAlign w:val="bottom"/>
          </w:tcPr>
          <w:p>
            <w:pPr>
              <w:ind w:left="20"/>
              <w:spacing w:after="0"/>
              <w:rPr>
                <w:sz w:val="20"/>
                <w:szCs w:val="20"/>
                <w:color w:val="auto"/>
              </w:rPr>
            </w:pPr>
            <w:r>
              <w:rPr>
                <w:rFonts w:ascii="Arial" w:cs="Arial" w:eastAsia="Arial" w:hAnsi="Arial"/>
                <w:sz w:val="18"/>
                <w:szCs w:val="18"/>
                <w:color w:val="auto"/>
              </w:rPr>
              <w:t>Supplier A</w:t>
            </w:r>
          </w:p>
        </w:tc>
        <w:tc>
          <w:tcPr>
            <w:tcW w:w="10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15 %</w:t>
            </w:r>
          </w:p>
        </w:tc>
        <w:tc>
          <w:tcPr>
            <w:tcW w:w="100" w:type="dxa"/>
            <w:vAlign w:val="bottom"/>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Supplier B</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 Supplier accounted for less than 10% of total purchases in the period.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Supplier B accounted for 38% and 23% of total accounts payable balance as of June 30, 2021 and December 31, 2020.</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Fair Value of Financial Instruments</w:t>
      </w:r>
    </w:p>
    <w:p>
      <w:pPr>
        <w:spacing w:after="0" w:line="12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Company applies the fair value measurement accounting standard whenever other accounting pronouncements require or permit fair value measurements. Fair value is defined in the accounting standard as the price that would be received to sell an asset or paid to transfer a liability in an orderly transaction between market participants at the measurement date. The fair value hierarchy is based on inputs to valuation techniques that are used to measure fair value that are either observable or unobservable. Observable inputs reflect assumptions market participants would use in pricing an asset or liability based on market data obtained from independent sources, while unobservable inputs reflect a reporting entity’s pricing based upon their own market assumptions. The fair value hierarchy consists of the following three levels:</w:t>
      </w:r>
    </w:p>
    <w:p>
      <w:pPr>
        <w:spacing w:after="0" w:line="70" w:lineRule="exact"/>
        <w:rPr>
          <w:sz w:val="20"/>
          <w:szCs w:val="20"/>
          <w:color w:val="auto"/>
        </w:rPr>
      </w:pPr>
    </w:p>
    <w:p>
      <w:pPr>
        <w:ind w:left="980" w:hanging="567"/>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1 - Quoted prices for identical instruments in active markets.</w:t>
      </w:r>
    </w:p>
    <w:p>
      <w:pPr>
        <w:spacing w:after="0" w:line="117" w:lineRule="exact"/>
        <w:rPr>
          <w:rFonts w:ascii="Arial" w:cs="Arial" w:eastAsia="Arial" w:hAnsi="Arial"/>
          <w:sz w:val="18"/>
          <w:szCs w:val="18"/>
          <w:color w:val="auto"/>
        </w:rPr>
      </w:pPr>
    </w:p>
    <w:p>
      <w:pPr>
        <w:ind w:left="980" w:right="360" w:hanging="567"/>
        <w:spacing w:after="0" w:line="308" w:lineRule="auto"/>
        <w:tabs>
          <w:tab w:leader="none" w:pos="975" w:val="left"/>
        </w:tabs>
        <w:numPr>
          <w:ilvl w:val="0"/>
          <w:numId w:val="6"/>
        </w:numPr>
        <w:rPr>
          <w:rFonts w:ascii="Arial" w:cs="Arial" w:eastAsia="Arial" w:hAnsi="Arial"/>
          <w:sz w:val="17"/>
          <w:szCs w:val="17"/>
          <w:color w:val="auto"/>
        </w:rPr>
      </w:pPr>
      <w:r>
        <w:rPr>
          <w:rFonts w:ascii="Arial" w:cs="Arial" w:eastAsia="Arial" w:hAnsi="Arial"/>
          <w:sz w:val="17"/>
          <w:szCs w:val="17"/>
          <w:color w:val="auto"/>
        </w:rPr>
        <w:t>Level 2 - 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38" w:lineRule="exact"/>
        <w:rPr>
          <w:rFonts w:ascii="Arial" w:cs="Arial" w:eastAsia="Arial" w:hAnsi="Arial"/>
          <w:sz w:val="17"/>
          <w:szCs w:val="17"/>
          <w:color w:val="auto"/>
        </w:rPr>
      </w:pPr>
    </w:p>
    <w:p>
      <w:pPr>
        <w:ind w:left="980" w:hanging="567"/>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3 - Instruments whose significant value drivers are unobservable.</w:t>
      </w:r>
    </w:p>
    <w:p>
      <w:pPr>
        <w:spacing w:after="0" w:line="17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On June 30, 2021, the Company’s Level 3 liabilities consisted of the Private Placement warrant liability. The determination of the fair value of warrant liability is discussed in Note 6.</w:t>
      </w:r>
    </w:p>
    <w:p>
      <w:pPr>
        <w:spacing w:after="0" w:line="11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On December 31, 2020, the Company’s Level 3 liabilities consisted of the redeemable convertible preferred stock warrant liability. The determination of the fair value of warrant liability is discussed in Note 6.</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following table provides information by level for the Company’s assets and liabilities that were measured at fair value on a recurring basis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ind w:left="760"/>
              <w:spacing w:after="0"/>
              <w:rPr>
                <w:sz w:val="20"/>
                <w:szCs w:val="20"/>
                <w:color w:val="auto"/>
              </w:rPr>
            </w:pPr>
            <w:r>
              <w:rPr>
                <w:rFonts w:ascii="Arial" w:cs="Arial" w:eastAsia="Arial" w:hAnsi="Arial"/>
                <w:sz w:val="14"/>
                <w:szCs w:val="14"/>
                <w:b w:val="1"/>
                <w:bCs w:val="1"/>
                <w:color w:val="auto"/>
                <w:w w:val="94"/>
              </w:rPr>
              <w:t>June 30, 2021</w:t>
            </w: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6"/>
                <w:szCs w:val="16"/>
                <w:color w:val="auto"/>
              </w:rPr>
            </w:pPr>
          </w:p>
        </w:tc>
        <w:tc>
          <w:tcPr>
            <w:tcW w:w="122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420" w:type="dxa"/>
            <w:vAlign w:val="bottom"/>
          </w:tcPr>
          <w:p>
            <w:pPr>
              <w:spacing w:after="0"/>
              <w:rPr>
                <w:sz w:val="16"/>
                <w:szCs w:val="16"/>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3</w:t>
            </w:r>
          </w:p>
        </w:tc>
        <w:tc>
          <w:tcPr>
            <w:tcW w:w="340" w:type="dxa"/>
            <w:vAlign w:val="bottom"/>
          </w:tcPr>
          <w:p>
            <w:pPr>
              <w:spacing w:after="0"/>
              <w:rPr>
                <w:sz w:val="16"/>
                <w:szCs w:val="16"/>
                <w:color w:val="auto"/>
              </w:rPr>
            </w:pPr>
          </w:p>
        </w:tc>
        <w:tc>
          <w:tcPr>
            <w:tcW w:w="1080" w:type="dxa"/>
            <w:vAlign w:val="bottom"/>
          </w:tcPr>
          <w:p>
            <w:pPr>
              <w:jc w:val="right"/>
              <w:ind w:right="47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1"/>
        </w:trPr>
        <w:tc>
          <w:tcPr>
            <w:tcW w:w="5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00" w:type="dxa"/>
            <w:vAlign w:val="bottom"/>
          </w:tcPr>
          <w:p>
            <w:pPr>
              <w:ind w:left="360"/>
              <w:spacing w:after="0"/>
              <w:rPr>
                <w:sz w:val="20"/>
                <w:szCs w:val="20"/>
                <w:color w:val="auto"/>
              </w:rPr>
            </w:pPr>
            <w:r>
              <w:rPr>
                <w:rFonts w:ascii="Arial" w:cs="Arial" w:eastAsia="Arial" w:hAnsi="Arial"/>
                <w:sz w:val="18"/>
                <w:szCs w:val="18"/>
                <w:color w:val="auto"/>
              </w:rPr>
              <w:t>Money market funds</w:t>
            </w:r>
          </w:p>
        </w:tc>
        <w:tc>
          <w:tcPr>
            <w:tcW w:w="300" w:type="dxa"/>
            <w:vAlign w:val="bottom"/>
            <w:gridSpan w:val="2"/>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238,855</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238,855</w:t>
            </w:r>
          </w:p>
        </w:tc>
        <w:tc>
          <w:tcPr>
            <w:tcW w:w="0" w:type="dxa"/>
            <w:vAlign w:val="bottom"/>
          </w:tcPr>
          <w:p>
            <w:pPr>
              <w:spacing w:after="0"/>
              <w:rPr>
                <w:sz w:val="1"/>
                <w:szCs w:val="1"/>
                <w:color w:val="auto"/>
              </w:rPr>
            </w:pPr>
          </w:p>
        </w:tc>
      </w:tr>
      <w:tr>
        <w:trPr>
          <w:trHeight w:val="248"/>
        </w:trPr>
        <w:tc>
          <w:tcPr>
            <w:tcW w:w="53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financial assets</w:t>
            </w:r>
          </w:p>
        </w:tc>
        <w:tc>
          <w:tcPr>
            <w:tcW w:w="300" w:type="dxa"/>
            <w:vAlign w:val="bottom"/>
            <w:tcBorders>
              <w:top w:val="single" w:sz="8" w:color="auto"/>
              <w:bottom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238,855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238,855</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Liabilities</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3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Warrant liabilities</w:t>
            </w:r>
          </w:p>
        </w:tc>
        <w:tc>
          <w:tcPr>
            <w:tcW w:w="3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25,471</w:t>
            </w:r>
          </w:p>
        </w:tc>
        <w:tc>
          <w:tcPr>
            <w:tcW w:w="0" w:type="dxa"/>
            <w:vAlign w:val="bottom"/>
          </w:tcPr>
          <w:p>
            <w:pPr>
              <w:spacing w:after="0"/>
              <w:rPr>
                <w:sz w:val="1"/>
                <w:szCs w:val="1"/>
                <w:color w:val="auto"/>
              </w:rPr>
            </w:pPr>
          </w:p>
        </w:tc>
      </w:tr>
      <w:tr>
        <w:trPr>
          <w:trHeight w:val="223"/>
        </w:trPr>
        <w:tc>
          <w:tcPr>
            <w:tcW w:w="5300" w:type="dxa"/>
            <w:vAlign w:val="bottom"/>
          </w:tcPr>
          <w:p>
            <w:pPr>
              <w:ind w:left="360"/>
              <w:spacing w:after="0"/>
              <w:rPr>
                <w:sz w:val="20"/>
                <w:szCs w:val="20"/>
                <w:color w:val="auto"/>
              </w:rPr>
            </w:pPr>
            <w:r>
              <w:rPr>
                <w:rFonts w:ascii="Arial" w:cs="Arial" w:eastAsia="Arial" w:hAnsi="Arial"/>
                <w:sz w:val="18"/>
                <w:szCs w:val="18"/>
                <w:color w:val="auto"/>
              </w:rPr>
              <w:t>Total financial liabilities</w:t>
            </w:r>
          </w:p>
        </w:tc>
        <w:tc>
          <w:tcPr>
            <w:tcW w:w="300" w:type="dxa"/>
            <w:vAlign w:val="bottom"/>
            <w:tcBorders>
              <w:top w:val="single" w:sz="8" w:color="auto"/>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25,471</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25,471</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14"/>
        </w:trPr>
        <w:tc>
          <w:tcPr>
            <w:tcW w:w="5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5"/>
          </w:tcPr>
          <w:p>
            <w:pPr>
              <w:ind w:left="600"/>
              <w:spacing w:after="0"/>
              <w:rPr>
                <w:sz w:val="20"/>
                <w:szCs w:val="20"/>
                <w:color w:val="auto"/>
              </w:rPr>
            </w:pPr>
            <w:r>
              <w:rPr>
                <w:rFonts w:ascii="Arial" w:cs="Arial" w:eastAsia="Arial" w:hAnsi="Arial"/>
                <w:sz w:val="14"/>
                <w:szCs w:val="14"/>
                <w:b w:val="1"/>
                <w:bCs w:val="1"/>
                <w:color w:val="auto"/>
              </w:rPr>
              <w:t>December 31, 2020</w:t>
            </w: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6"/>
                <w:szCs w:val="16"/>
                <w:color w:val="auto"/>
              </w:rPr>
            </w:pPr>
          </w:p>
        </w:tc>
        <w:tc>
          <w:tcPr>
            <w:tcW w:w="122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420" w:type="dxa"/>
            <w:vAlign w:val="bottom"/>
          </w:tcPr>
          <w:p>
            <w:pPr>
              <w:spacing w:after="0"/>
              <w:rPr>
                <w:sz w:val="16"/>
                <w:szCs w:val="16"/>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3</w:t>
            </w:r>
          </w:p>
        </w:tc>
        <w:tc>
          <w:tcPr>
            <w:tcW w:w="340" w:type="dxa"/>
            <w:vAlign w:val="bottom"/>
          </w:tcPr>
          <w:p>
            <w:pPr>
              <w:spacing w:after="0"/>
              <w:rPr>
                <w:sz w:val="16"/>
                <w:szCs w:val="16"/>
                <w:color w:val="auto"/>
              </w:rPr>
            </w:pPr>
          </w:p>
        </w:tc>
        <w:tc>
          <w:tcPr>
            <w:tcW w:w="1080" w:type="dxa"/>
            <w:vAlign w:val="bottom"/>
          </w:tcPr>
          <w:p>
            <w:pPr>
              <w:jc w:val="right"/>
              <w:ind w:right="47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1"/>
        </w:trPr>
        <w:tc>
          <w:tcPr>
            <w:tcW w:w="5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360"/>
              <w:spacing w:after="0"/>
              <w:rPr>
                <w:sz w:val="20"/>
                <w:szCs w:val="20"/>
                <w:color w:val="auto"/>
              </w:rPr>
            </w:pPr>
            <w:r>
              <w:rPr>
                <w:rFonts w:ascii="Arial" w:cs="Arial" w:eastAsia="Arial" w:hAnsi="Arial"/>
                <w:sz w:val="18"/>
                <w:szCs w:val="18"/>
                <w:color w:val="auto"/>
              </w:rPr>
              <w:t>Money market funds</w:t>
            </w:r>
          </w:p>
        </w:tc>
        <w:tc>
          <w:tcPr>
            <w:tcW w:w="300" w:type="dxa"/>
            <w:vAlign w:val="bottom"/>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10,493</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10,493</w:t>
            </w:r>
          </w:p>
        </w:tc>
        <w:tc>
          <w:tcPr>
            <w:tcW w:w="0" w:type="dxa"/>
            <w:vAlign w:val="bottom"/>
          </w:tcPr>
          <w:p>
            <w:pPr>
              <w:spacing w:after="0"/>
              <w:rPr>
                <w:sz w:val="1"/>
                <w:szCs w:val="1"/>
                <w:color w:val="auto"/>
              </w:rPr>
            </w:pPr>
          </w:p>
        </w:tc>
      </w:tr>
      <w:tr>
        <w:trPr>
          <w:trHeight w:val="248"/>
        </w:trPr>
        <w:tc>
          <w:tcPr>
            <w:tcW w:w="53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financial assets</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10,493</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Liabilities</w:t>
            </w: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3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Warrant liabilities</w:t>
            </w:r>
          </w:p>
        </w:tc>
        <w:tc>
          <w:tcPr>
            <w:tcW w:w="3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49,293</w:t>
            </w:r>
          </w:p>
        </w:tc>
        <w:tc>
          <w:tcPr>
            <w:tcW w:w="0" w:type="dxa"/>
            <w:vAlign w:val="bottom"/>
          </w:tcPr>
          <w:p>
            <w:pPr>
              <w:spacing w:after="0"/>
              <w:rPr>
                <w:sz w:val="1"/>
                <w:szCs w:val="1"/>
                <w:color w:val="auto"/>
              </w:rPr>
            </w:pPr>
          </w:p>
        </w:tc>
      </w:tr>
      <w:tr>
        <w:trPr>
          <w:trHeight w:val="223"/>
        </w:trPr>
        <w:tc>
          <w:tcPr>
            <w:tcW w:w="5300" w:type="dxa"/>
            <w:vAlign w:val="bottom"/>
          </w:tcPr>
          <w:p>
            <w:pPr>
              <w:ind w:left="360"/>
              <w:spacing w:after="0"/>
              <w:rPr>
                <w:sz w:val="20"/>
                <w:szCs w:val="20"/>
                <w:color w:val="auto"/>
              </w:rPr>
            </w:pPr>
            <w:r>
              <w:rPr>
                <w:rFonts w:ascii="Arial" w:cs="Arial" w:eastAsia="Arial" w:hAnsi="Arial"/>
                <w:sz w:val="18"/>
                <w:szCs w:val="18"/>
                <w:color w:val="auto"/>
              </w:rPr>
              <w:t>Total financial liabilities</w:t>
            </w:r>
          </w:p>
        </w:tc>
        <w:tc>
          <w:tcPr>
            <w:tcW w:w="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49,293</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49,293</w:t>
            </w:r>
          </w:p>
        </w:tc>
        <w:tc>
          <w:tcPr>
            <w:tcW w:w="0" w:type="dxa"/>
            <w:vAlign w:val="bottom"/>
          </w:tcPr>
          <w:p>
            <w:pPr>
              <w:spacing w:after="0"/>
              <w:rPr>
                <w:sz w:val="1"/>
                <w:szCs w:val="1"/>
                <w:color w:val="auto"/>
              </w:rPr>
            </w:pPr>
          </w:p>
        </w:tc>
      </w:tr>
      <w:tr>
        <w:trPr>
          <w:trHeight w:val="21"/>
        </w:trPr>
        <w:tc>
          <w:tcPr>
            <w:tcW w:w="5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Money market funds are included within Level 1 of the fair value hierarchy because they are valued using quoted market prices.</w:t>
      </w:r>
    </w:p>
    <w:p>
      <w:pPr>
        <w:spacing w:after="0" w:line="17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fair value of the redeemable convertible preferred stock warrant, redeemable convertible preferred stock tranche and Private Placement warrant liabilities is based on significant unobservable inputs, which represent Level 3 measurements within the fair value hierarchy. In determining the fair value of the warrant liabilities, the Company used the Black-Scholes option pricing model to estimate the fair value using unobservable inputs including the expected term, expected volatility, risk-free interest rate and dividend yield (see Note 6).</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summary of the changes in the fair value of the Company’s Level 3 financial instruments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Redeemable</w:t>
            </w:r>
          </w:p>
        </w:tc>
        <w:tc>
          <w:tcPr>
            <w:tcW w:w="180" w:type="dxa"/>
            <w:vAlign w:val="bottom"/>
          </w:tcPr>
          <w:p>
            <w:pPr>
              <w:spacing w:after="0"/>
              <w:rPr>
                <w:sz w:val="13"/>
                <w:szCs w:val="13"/>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6"/>
              </w:rPr>
              <w:t>Redeemable</w:t>
            </w: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5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89"/>
              </w:rPr>
              <w:t>Convertible</w:t>
            </w:r>
          </w:p>
        </w:tc>
        <w:tc>
          <w:tcPr>
            <w:tcW w:w="180" w:type="dxa"/>
            <w:vAlign w:val="bottom"/>
          </w:tcPr>
          <w:p>
            <w:pPr>
              <w:spacing w:after="0"/>
              <w:rPr>
                <w:sz w:val="10"/>
                <w:szCs w:val="10"/>
                <w:color w:val="auto"/>
              </w:rPr>
            </w:pPr>
          </w:p>
        </w:tc>
        <w:tc>
          <w:tcPr>
            <w:tcW w:w="134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89"/>
              </w:rPr>
              <w:t>Convertible</w:t>
            </w:r>
          </w:p>
        </w:tc>
        <w:tc>
          <w:tcPr>
            <w:tcW w:w="180" w:type="dxa"/>
            <w:vAlign w:val="bottom"/>
          </w:tcPr>
          <w:p>
            <w:pPr>
              <w:spacing w:after="0"/>
              <w:rPr>
                <w:sz w:val="10"/>
                <w:szCs w:val="10"/>
                <w:color w:val="auto"/>
              </w:rPr>
            </w:pPr>
          </w:p>
        </w:tc>
        <w:tc>
          <w:tcPr>
            <w:tcW w:w="136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Private Placement</w:t>
            </w:r>
          </w:p>
        </w:tc>
        <w:tc>
          <w:tcPr>
            <w:tcW w:w="180" w:type="dxa"/>
            <w:vAlign w:val="bottom"/>
          </w:tcPr>
          <w:p>
            <w:pPr>
              <w:spacing w:after="0"/>
              <w:rPr>
                <w:sz w:val="10"/>
                <w:szCs w:val="10"/>
                <w:color w:val="auto"/>
              </w:rPr>
            </w:pPr>
          </w:p>
        </w:tc>
        <w:tc>
          <w:tcPr>
            <w:tcW w:w="920" w:type="dxa"/>
            <w:vAlign w:val="bottom"/>
            <w:vMerge w:val="restart"/>
          </w:tcPr>
          <w:p>
            <w:pPr>
              <w:jc w:val="right"/>
              <w:ind w:right="195"/>
              <w:spacing w:after="0"/>
              <w:rPr>
                <w:sz w:val="20"/>
                <w:szCs w:val="20"/>
                <w:color w:val="auto"/>
              </w:rPr>
            </w:pPr>
            <w:r>
              <w:rPr>
                <w:rFonts w:ascii="Arial" w:cs="Arial" w:eastAsia="Arial" w:hAnsi="Arial"/>
                <w:sz w:val="13"/>
                <w:szCs w:val="13"/>
                <w:b w:val="1"/>
                <w:bCs w:val="1"/>
                <w:color w:val="auto"/>
                <w:w w:val="99"/>
              </w:rPr>
              <w:t>Derivative</w:t>
            </w:r>
          </w:p>
        </w:tc>
        <w:tc>
          <w:tcPr>
            <w:tcW w:w="0" w:type="dxa"/>
            <w:vAlign w:val="bottom"/>
          </w:tcPr>
          <w:p>
            <w:pPr>
              <w:spacing w:after="0"/>
              <w:rPr>
                <w:sz w:val="1"/>
                <w:szCs w:val="1"/>
                <w:color w:val="auto"/>
              </w:rPr>
            </w:pPr>
          </w:p>
        </w:tc>
      </w:tr>
      <w:tr>
        <w:trPr>
          <w:trHeight w:val="122"/>
        </w:trPr>
        <w:tc>
          <w:tcPr>
            <w:tcW w:w="5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88"/>
              </w:rPr>
              <w:t>Preferred Stock</w:t>
            </w:r>
          </w:p>
        </w:tc>
        <w:tc>
          <w:tcPr>
            <w:tcW w:w="180" w:type="dxa"/>
            <w:vAlign w:val="bottom"/>
          </w:tcPr>
          <w:p>
            <w:pPr>
              <w:spacing w:after="0"/>
              <w:rPr>
                <w:sz w:val="10"/>
                <w:szCs w:val="10"/>
                <w:color w:val="auto"/>
              </w:rPr>
            </w:pPr>
          </w:p>
        </w:tc>
        <w:tc>
          <w:tcPr>
            <w:tcW w:w="134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86"/>
              </w:rPr>
              <w:t>Preferred Stock</w:t>
            </w:r>
          </w:p>
        </w:tc>
        <w:tc>
          <w:tcPr>
            <w:tcW w:w="180" w:type="dxa"/>
            <w:vAlign w:val="bottom"/>
          </w:tcPr>
          <w:p>
            <w:pPr>
              <w:spacing w:after="0"/>
              <w:rPr>
                <w:sz w:val="10"/>
                <w:szCs w:val="10"/>
                <w:color w:val="auto"/>
              </w:rPr>
            </w:pPr>
          </w:p>
        </w:tc>
        <w:tc>
          <w:tcPr>
            <w:tcW w:w="136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5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4"/>
              </w:rPr>
              <w:t>Warrant Liability</w:t>
            </w:r>
          </w:p>
        </w:tc>
        <w:tc>
          <w:tcPr>
            <w:tcW w:w="180" w:type="dxa"/>
            <w:vAlign w:val="bottom"/>
          </w:tcPr>
          <w:p>
            <w:pPr>
              <w:spacing w:after="0"/>
              <w:rPr>
                <w:sz w:val="14"/>
                <w:szCs w:val="14"/>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0"/>
              </w:rPr>
              <w:t>Tranche Liability</w:t>
            </w:r>
          </w:p>
        </w:tc>
        <w:tc>
          <w:tcPr>
            <w:tcW w:w="180" w:type="dxa"/>
            <w:vAlign w:val="bottom"/>
          </w:tcPr>
          <w:p>
            <w:pPr>
              <w:spacing w:after="0"/>
              <w:rPr>
                <w:sz w:val="14"/>
                <w:szCs w:val="14"/>
                <w:color w:val="auto"/>
              </w:rPr>
            </w:pPr>
          </w:p>
        </w:tc>
        <w:tc>
          <w:tcPr>
            <w:tcW w:w="1360" w:type="dxa"/>
            <w:vAlign w:val="bottom"/>
            <w:gridSpan w:val="2"/>
          </w:tcPr>
          <w:p>
            <w:pPr>
              <w:ind w:left="60"/>
              <w:spacing w:after="0"/>
              <w:rPr>
                <w:sz w:val="20"/>
                <w:szCs w:val="20"/>
                <w:color w:val="auto"/>
              </w:rPr>
            </w:pPr>
            <w:r>
              <w:rPr>
                <w:rFonts w:ascii="Arial" w:cs="Arial" w:eastAsia="Arial" w:hAnsi="Arial"/>
                <w:sz w:val="13"/>
                <w:szCs w:val="13"/>
                <w:b w:val="1"/>
                <w:bCs w:val="1"/>
                <w:color w:val="auto"/>
              </w:rPr>
              <w:t>Warrant Liability</w:t>
            </w:r>
          </w:p>
        </w:tc>
        <w:tc>
          <w:tcPr>
            <w:tcW w:w="180" w:type="dxa"/>
            <w:vAlign w:val="bottom"/>
          </w:tcPr>
          <w:p>
            <w:pPr>
              <w:spacing w:after="0"/>
              <w:rPr>
                <w:sz w:val="14"/>
                <w:szCs w:val="14"/>
                <w:color w:val="auto"/>
              </w:rPr>
            </w:pPr>
          </w:p>
        </w:tc>
        <w:tc>
          <w:tcPr>
            <w:tcW w:w="920" w:type="dxa"/>
            <w:vAlign w:val="bottom"/>
          </w:tcPr>
          <w:p>
            <w:pPr>
              <w:jc w:val="right"/>
              <w:ind w:right="235"/>
              <w:spacing w:after="0"/>
              <w:rPr>
                <w:sz w:val="20"/>
                <w:szCs w:val="20"/>
                <w:color w:val="auto"/>
              </w:rPr>
            </w:pPr>
            <w:r>
              <w:rPr>
                <w:rFonts w:ascii="Arial" w:cs="Arial" w:eastAsia="Arial" w:hAnsi="Arial"/>
                <w:sz w:val="13"/>
                <w:szCs w:val="13"/>
                <w:b w:val="1"/>
                <w:bCs w:val="1"/>
                <w:color w:val="auto"/>
              </w:rPr>
              <w:t>Liability</w:t>
            </w:r>
          </w:p>
        </w:tc>
        <w:tc>
          <w:tcPr>
            <w:tcW w:w="0" w:type="dxa"/>
            <w:vAlign w:val="bottom"/>
          </w:tcPr>
          <w:p>
            <w:pPr>
              <w:spacing w:after="0"/>
              <w:rPr>
                <w:sz w:val="1"/>
                <w:szCs w:val="1"/>
                <w:color w:val="auto"/>
              </w:rPr>
            </w:pPr>
          </w:p>
        </w:tc>
      </w:tr>
      <w:tr>
        <w:trPr>
          <w:trHeight w:val="229"/>
        </w:trPr>
        <w:tc>
          <w:tcPr>
            <w:tcW w:w="5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as of January 1, 2020</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color w:val="auto"/>
              </w:rPr>
              <w:t>Change in the fair value included in other income (expense), net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(5,308)</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Recognition of preferred stock warrant and tranche liability upon issuance</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ind w:left="700"/>
              <w:spacing w:after="0"/>
              <w:rPr>
                <w:sz w:val="20"/>
                <w:szCs w:val="20"/>
                <w:color w:val="auto"/>
              </w:rPr>
            </w:pPr>
            <w:r>
              <w:rPr>
                <w:rFonts w:ascii="Arial" w:cs="Arial" w:eastAsia="Arial" w:hAnsi="Arial"/>
                <w:sz w:val="18"/>
                <w:szCs w:val="18"/>
                <w:color w:val="auto"/>
                <w:w w:val="94"/>
              </w:rPr>
              <w:t>(1,610)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660" w:type="dxa"/>
            <w:vAlign w:val="bottom"/>
          </w:tcPr>
          <w:p>
            <w:pPr>
              <w:ind w:left="20"/>
              <w:spacing w:after="0"/>
              <w:rPr>
                <w:sz w:val="20"/>
                <w:szCs w:val="20"/>
                <w:color w:val="auto"/>
              </w:rPr>
            </w:pPr>
            <w:r>
              <w:rPr>
                <w:rFonts w:ascii="Arial" w:cs="Arial" w:eastAsia="Arial" w:hAnsi="Arial"/>
                <w:sz w:val="18"/>
                <w:szCs w:val="18"/>
                <w:color w:val="auto"/>
                <w:w w:val="96"/>
              </w:rPr>
              <w:t>Extinguishment of derivative liability upon conversion of convertible notes</w:t>
            </w:r>
          </w:p>
        </w:tc>
        <w:tc>
          <w:tcPr>
            <w:tcW w:w="1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4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5,308</w:t>
            </w:r>
          </w:p>
        </w:tc>
        <w:tc>
          <w:tcPr>
            <w:tcW w:w="0" w:type="dxa"/>
            <w:vAlign w:val="bottom"/>
          </w:tcPr>
          <w:p>
            <w:pPr>
              <w:spacing w:after="0"/>
              <w:rPr>
                <w:sz w:val="1"/>
                <w:szCs w:val="1"/>
                <w:color w:val="auto"/>
              </w:rPr>
            </w:pPr>
          </w:p>
        </w:tc>
      </w:tr>
      <w:tr>
        <w:trPr>
          <w:trHeight w:val="248"/>
        </w:trPr>
        <w:tc>
          <w:tcPr>
            <w:tcW w:w="5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as of June 30, 2020</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w w:val="94"/>
              </w:rPr>
              <w:t>(1,610)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as of January 1, 2021</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660" w:type="dxa"/>
            <w:vAlign w:val="bottom"/>
          </w:tcPr>
          <w:p>
            <w:pPr>
              <w:ind w:left="20"/>
              <w:spacing w:after="0"/>
              <w:rPr>
                <w:sz w:val="20"/>
                <w:szCs w:val="20"/>
                <w:color w:val="auto"/>
              </w:rPr>
            </w:pPr>
            <w:r>
              <w:rPr>
                <w:rFonts w:ascii="Arial" w:cs="Arial" w:eastAsia="Arial" w:hAnsi="Arial"/>
                <w:sz w:val="18"/>
                <w:szCs w:val="18"/>
                <w:color w:val="auto"/>
              </w:rPr>
              <w:t>Private placement warrant liability acquired as part of the Merger</w:t>
            </w:r>
          </w:p>
        </w:tc>
        <w:tc>
          <w:tcPr>
            <w:tcW w:w="1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4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(19,377)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the fair value included in other income (expense), net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color w:val="auto"/>
              </w:rPr>
              <w:t>Issuance of preferred stock upon exercise of warrants</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58,097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as of June 30, 2021</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of Fair Values</w:t>
      </w:r>
    </w:p>
    <w:p>
      <w:pPr>
        <w:spacing w:after="0" w:line="117"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Our financial instruments that are not re-measured at fair value include accounts receivable, accounts payable, accrued and other current liabilities, convertible notes and debt. The carrying values of these financial instruments approximate their fair values.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Balance Sheet Components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Company’s cash and cash equivalents consist of the following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220" w:type="dxa"/>
            <w:vAlign w:val="bottom"/>
          </w:tcPr>
          <w:p>
            <w:pPr>
              <w:jc w:val="right"/>
              <w:ind w:right="217"/>
              <w:spacing w:after="0"/>
              <w:rPr>
                <w:sz w:val="20"/>
                <w:szCs w:val="20"/>
                <w:color w:val="auto"/>
              </w:rPr>
            </w:pPr>
            <w:r>
              <w:rPr>
                <w:rFonts w:ascii="Arial" w:cs="Arial" w:eastAsia="Arial" w:hAnsi="Arial"/>
                <w:sz w:val="14"/>
                <w:szCs w:val="14"/>
                <w:b w:val="1"/>
                <w:bCs w:val="1"/>
                <w:color w:val="auto"/>
                <w:w w:val="98"/>
              </w:rPr>
              <w:t>December 31,</w:t>
            </w:r>
          </w:p>
        </w:tc>
      </w:tr>
      <w:tr>
        <w:trPr>
          <w:trHeight w:val="188"/>
        </w:trPr>
        <w:tc>
          <w:tcPr>
            <w:tcW w:w="82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2020</w:t>
            </w:r>
          </w:p>
        </w:tc>
      </w:tr>
      <w:tr>
        <w:trPr>
          <w:trHeight w:val="224"/>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w:t>
            </w:r>
          </w:p>
        </w:tc>
      </w:tr>
      <w:tr>
        <w:trPr>
          <w:trHeight w:val="229"/>
        </w:trPr>
        <w:tc>
          <w:tcPr>
            <w:tcW w:w="828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828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Money market funds</w:t>
            </w:r>
            <w:r>
              <w:rPr>
                <w:rFonts w:ascii="Arial" w:cs="Arial" w:eastAsia="Arial" w:hAnsi="Arial"/>
                <w:sz w:val="23"/>
                <w:szCs w:val="23"/>
                <w:color w:val="auto"/>
                <w:vertAlign w:val="superscript"/>
              </w:rPr>
              <w:t>(1)</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238,855</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10,493</w:t>
            </w:r>
          </w:p>
        </w:tc>
      </w:tr>
      <w:tr>
        <w:trPr>
          <w:trHeight w:val="223"/>
        </w:trPr>
        <w:tc>
          <w:tcPr>
            <w:tcW w:w="8280" w:type="dxa"/>
            <w:vAlign w:val="bottom"/>
          </w:tcPr>
          <w:p>
            <w:pPr>
              <w:ind w:left="20"/>
              <w:spacing w:after="0"/>
              <w:rPr>
                <w:sz w:val="20"/>
                <w:szCs w:val="20"/>
                <w:color w:val="auto"/>
              </w:rPr>
            </w:pPr>
            <w:r>
              <w:rPr>
                <w:rFonts w:ascii="Arial" w:cs="Arial" w:eastAsia="Arial" w:hAnsi="Arial"/>
                <w:sz w:val="18"/>
                <w:szCs w:val="18"/>
                <w:color w:val="auto"/>
              </w:rPr>
              <w:t>Total cash and cash equivalents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240,148</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11,362</w:t>
            </w:r>
          </w:p>
        </w:tc>
      </w:tr>
      <w:tr>
        <w:trPr>
          <w:trHeight w:val="20"/>
        </w:trPr>
        <w:tc>
          <w:tcPr>
            <w:tcW w:w="8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240"/>
        <w:spacing w:after="0" w:line="227" w:lineRule="auto"/>
        <w:rPr>
          <w:sz w:val="20"/>
          <w:szCs w:val="20"/>
          <w:color w:val="auto"/>
        </w:rPr>
      </w:pPr>
      <w:r>
        <w:rPr>
          <w:rFonts w:ascii="Arial" w:cs="Arial" w:eastAsia="Arial" w:hAnsi="Arial"/>
          <w:sz w:val="23"/>
          <w:szCs w:val="23"/>
          <w:color w:val="auto"/>
          <w:vertAlign w:val="superscript"/>
        </w:rPr>
        <w:t>(1)</w:t>
      </w:r>
      <w:r>
        <w:rPr>
          <w:rFonts w:ascii="Arial" w:cs="Arial" w:eastAsia="Arial" w:hAnsi="Arial"/>
          <w:sz w:val="18"/>
          <w:szCs w:val="18"/>
          <w:color w:val="auto"/>
        </w:rPr>
        <w:t>The Company maintains a cash sweep account which is included in money market funds as of June 30, 2021. Cash is invested in the short-term money market funds, which is a cash sweep for uninvited cash that earns interest.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71"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Restricted cash consists of certificates of deposit held by a bank as security for outstanding letters of credit. The Company had a restricted cash balance of $1.3 million and $1.3 million as of June 30, 2021 and December 31, 2020, respectively, which has been excluded from the Company’s cash and cash equivalents balances. The Company presented $0.3 million of the total amount of restricted cash within current assets on the condensed consolidated balance sheets as of June 30, 2021 and December 31, 2020. The remaining restricted cash balance of $1.0 million and $1.0 million is included in non-current assets on the condensed consolidated balance sheets as of June 30, 2021 and December 31,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Reconciliation of cash, cash equivalents and restricted cash as shown in the condensed consolidated statement of cash flows to the respective accounts within the condensed consolidated balance sheet is as follows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300" w:type="dxa"/>
            <w:vAlign w:val="bottom"/>
          </w:tcPr>
          <w:p>
            <w:pPr>
              <w:spacing w:after="0"/>
              <w:rPr>
                <w:sz w:val="14"/>
                <w:szCs w:val="14"/>
                <w:color w:val="auto"/>
              </w:rPr>
            </w:pPr>
          </w:p>
        </w:tc>
        <w:tc>
          <w:tcPr>
            <w:tcW w:w="1140" w:type="dxa"/>
            <w:vAlign w:val="bottom"/>
          </w:tcPr>
          <w:p>
            <w:pPr>
              <w:jc w:val="right"/>
              <w:ind w:right="376"/>
              <w:spacing w:after="0"/>
              <w:rPr>
                <w:sz w:val="20"/>
                <w:szCs w:val="20"/>
                <w:color w:val="auto"/>
              </w:rPr>
            </w:pPr>
            <w:r>
              <w:rPr>
                <w:rFonts w:ascii="Arial" w:cs="Arial" w:eastAsia="Arial" w:hAnsi="Arial"/>
                <w:sz w:val="14"/>
                <w:szCs w:val="14"/>
                <w:b w:val="1"/>
                <w:bCs w:val="1"/>
                <w:color w:val="auto"/>
              </w:rPr>
              <w:t>June 30,</w:t>
            </w:r>
          </w:p>
        </w:tc>
      </w:tr>
      <w:tr>
        <w:trPr>
          <w:trHeight w:val="188"/>
        </w:trPr>
        <w:tc>
          <w:tcPr>
            <w:tcW w:w="82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r>
      <w:tr>
        <w:trPr>
          <w:trHeight w:val="224"/>
        </w:trPr>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240,148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11,438</w:t>
            </w:r>
          </w:p>
        </w:tc>
      </w:tr>
      <w:tr>
        <w:trPr>
          <w:trHeight w:val="229"/>
        </w:trPr>
        <w:tc>
          <w:tcPr>
            <w:tcW w:w="8280" w:type="dxa"/>
            <w:vAlign w:val="bottom"/>
          </w:tcPr>
          <w:p>
            <w:pPr>
              <w:ind w:left="360"/>
              <w:spacing w:after="0"/>
              <w:rPr>
                <w:sz w:val="20"/>
                <w:szCs w:val="20"/>
                <w:color w:val="auto"/>
              </w:rPr>
            </w:pPr>
            <w:r>
              <w:rPr>
                <w:rFonts w:ascii="Arial" w:cs="Arial" w:eastAsia="Arial" w:hAnsi="Arial"/>
                <w:sz w:val="18"/>
                <w:szCs w:val="18"/>
                <w:color w:val="auto"/>
              </w:rPr>
              <w:t>Restricted cash, current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276</w:t>
            </w:r>
          </w:p>
        </w:tc>
      </w:tr>
      <w:tr>
        <w:trPr>
          <w:trHeight w:val="230"/>
        </w:trPr>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Restricted cash, non-current</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1,280</w:t>
            </w:r>
          </w:p>
        </w:tc>
      </w:tr>
      <w:tr>
        <w:trPr>
          <w:trHeight w:val="223"/>
        </w:trPr>
        <w:tc>
          <w:tcPr>
            <w:tcW w:w="8280" w:type="dxa"/>
            <w:vAlign w:val="bottom"/>
          </w:tcPr>
          <w:p>
            <w:pPr>
              <w:ind w:left="360"/>
              <w:spacing w:after="0"/>
              <w:rPr>
                <w:sz w:val="20"/>
                <w:szCs w:val="20"/>
                <w:color w:val="auto"/>
              </w:rPr>
            </w:pPr>
            <w:r>
              <w:rPr>
                <w:rFonts w:ascii="Arial" w:cs="Arial" w:eastAsia="Arial" w:hAnsi="Arial"/>
                <w:sz w:val="18"/>
                <w:szCs w:val="18"/>
                <w:color w:val="auto"/>
              </w:rPr>
              <w:t>Total cash, cash equivalents and restricted cash</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241,428</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12,994</w:t>
            </w:r>
          </w:p>
        </w:tc>
      </w:tr>
      <w:tr>
        <w:trPr>
          <w:trHeight w:val="21"/>
        </w:trPr>
        <w:tc>
          <w:tcPr>
            <w:tcW w:w="8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Inventory, consisting of material, direct and indirect labor, and manufacturing overhead, consists of the following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220" w:type="dxa"/>
            <w:vAlign w:val="bottom"/>
          </w:tcPr>
          <w:p>
            <w:pPr>
              <w:jc w:val="right"/>
              <w:ind w:right="216"/>
              <w:spacing w:after="0"/>
              <w:rPr>
                <w:sz w:val="20"/>
                <w:szCs w:val="20"/>
                <w:color w:val="auto"/>
              </w:rPr>
            </w:pPr>
            <w:r>
              <w:rPr>
                <w:rFonts w:ascii="Arial" w:cs="Arial" w:eastAsia="Arial" w:hAnsi="Arial"/>
                <w:sz w:val="14"/>
                <w:szCs w:val="14"/>
                <w:b w:val="1"/>
                <w:bCs w:val="1"/>
                <w:color w:val="auto"/>
                <w:w w:val="98"/>
              </w:rPr>
              <w:t>December 31,</w:t>
            </w:r>
          </w:p>
        </w:tc>
      </w:tr>
      <w:tr>
        <w:trPr>
          <w:trHeight w:val="188"/>
        </w:trPr>
        <w:tc>
          <w:tcPr>
            <w:tcW w:w="82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r>
      <w:tr>
        <w:trPr>
          <w:trHeight w:val="224"/>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w:t>
            </w:r>
          </w:p>
        </w:tc>
      </w:tr>
      <w:tr>
        <w:trPr>
          <w:trHeight w:val="229"/>
        </w:trPr>
        <w:tc>
          <w:tcPr>
            <w:tcW w:w="828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1,360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1,249</w:t>
            </w: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1,474</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2,192</w:t>
            </w:r>
          </w:p>
        </w:tc>
      </w:tr>
      <w:tr>
        <w:trPr>
          <w:trHeight w:val="223"/>
        </w:trPr>
        <w:tc>
          <w:tcPr>
            <w:tcW w:w="8280" w:type="dxa"/>
            <w:vAlign w:val="bottom"/>
          </w:tcPr>
          <w:p>
            <w:pPr>
              <w:ind w:left="360"/>
              <w:spacing w:after="0"/>
              <w:rPr>
                <w:sz w:val="20"/>
                <w:szCs w:val="20"/>
                <w:color w:val="auto"/>
              </w:rPr>
            </w:pPr>
            <w:r>
              <w:rPr>
                <w:rFonts w:ascii="Arial" w:cs="Arial" w:eastAsia="Arial" w:hAnsi="Arial"/>
                <w:sz w:val="18"/>
                <w:szCs w:val="18"/>
                <w:color w:val="auto"/>
              </w:rPr>
              <w:t>Total inventory</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4,721</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4,817</w:t>
            </w:r>
          </w:p>
        </w:tc>
      </w:tr>
      <w:tr>
        <w:trPr>
          <w:trHeight w:val="21"/>
        </w:trPr>
        <w:tc>
          <w:tcPr>
            <w:tcW w:w="8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Total inventory balance as of June 30, 2021 and December 31, 2020 includes a write down of $2.1 million and $2.7 million, respectively, for obsolete, scrap, or returned inventory. During the three months ended June 30, 2021 and 2020, $0.1 million and $0.1 million of inventory write offs were charged to cost of revenue. During the six months ended June 30, 2021 and 2020, respectively, $0.1 million and $1.8 million of inventory write offs were charged to cost of revenue.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 consist of the following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June 30,</w:t>
            </w:r>
          </w:p>
        </w:tc>
        <w:tc>
          <w:tcPr>
            <w:tcW w:w="220" w:type="dxa"/>
            <w:vAlign w:val="bottom"/>
          </w:tcPr>
          <w:p>
            <w:pPr>
              <w:spacing w:after="0"/>
              <w:rPr>
                <w:sz w:val="14"/>
                <w:szCs w:val="14"/>
                <w:color w:val="auto"/>
              </w:rPr>
            </w:pPr>
          </w:p>
        </w:tc>
        <w:tc>
          <w:tcPr>
            <w:tcW w:w="1220" w:type="dxa"/>
            <w:vAlign w:val="bottom"/>
          </w:tcPr>
          <w:p>
            <w:pPr>
              <w:jc w:val="center"/>
              <w:ind w:right="135"/>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8"/>
        </w:trPr>
        <w:tc>
          <w:tcPr>
            <w:tcW w:w="5500" w:type="dxa"/>
            <w:vAlign w:val="bottom"/>
            <w:tcBorders>
              <w:bottom w:val="single" w:sz="8" w:color="CCEEFF"/>
            </w:tcBorders>
          </w:tcPr>
          <w:p>
            <w:pPr>
              <w:spacing w:after="0"/>
              <w:rPr>
                <w:sz w:val="16"/>
                <w:szCs w:val="16"/>
                <w:color w:val="auto"/>
              </w:rPr>
            </w:pPr>
          </w:p>
        </w:tc>
        <w:tc>
          <w:tcPr>
            <w:tcW w:w="27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w w:val="89"/>
              </w:rPr>
              <w:t>2021</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24"/>
        </w:trPr>
        <w:tc>
          <w:tcPr>
            <w:tcW w:w="5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Prepaid insurance</w:t>
            </w:r>
          </w:p>
        </w:tc>
        <w:tc>
          <w:tcPr>
            <w:tcW w:w="27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30"/>
        </w:trPr>
        <w:tc>
          <w:tcPr>
            <w:tcW w:w="5500" w:type="dxa"/>
            <w:vAlign w:val="bottom"/>
          </w:tcPr>
          <w:p>
            <w:pPr>
              <w:ind w:left="240"/>
              <w:spacing w:after="0"/>
              <w:rPr>
                <w:sz w:val="20"/>
                <w:szCs w:val="20"/>
                <w:color w:val="auto"/>
              </w:rPr>
            </w:pPr>
            <w:r>
              <w:rPr>
                <w:rFonts w:ascii="Arial" w:cs="Arial" w:eastAsia="Arial" w:hAnsi="Arial"/>
                <w:sz w:val="18"/>
                <w:szCs w:val="18"/>
                <w:color w:val="auto"/>
              </w:rPr>
              <w:t>Prepaid expenses</w:t>
            </w:r>
          </w:p>
        </w:tc>
        <w:tc>
          <w:tcPr>
            <w:tcW w:w="2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1,832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Receivable from contract manufacturer</w:t>
            </w:r>
          </w:p>
        </w:tc>
        <w:tc>
          <w:tcPr>
            <w:tcW w:w="27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1,521</w:t>
            </w:r>
          </w:p>
        </w:tc>
        <w:tc>
          <w:tcPr>
            <w:tcW w:w="0" w:type="dxa"/>
            <w:vAlign w:val="bottom"/>
          </w:tcPr>
          <w:p>
            <w:pPr>
              <w:spacing w:after="0"/>
              <w:rPr>
                <w:sz w:val="1"/>
                <w:szCs w:val="1"/>
                <w:color w:val="auto"/>
              </w:rPr>
            </w:pPr>
          </w:p>
        </w:tc>
      </w:tr>
      <w:tr>
        <w:trPr>
          <w:trHeight w:val="230"/>
        </w:trPr>
        <w:tc>
          <w:tcPr>
            <w:tcW w:w="55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Security deposit</w:t>
            </w:r>
          </w:p>
        </w:tc>
        <w:tc>
          <w:tcPr>
            <w:tcW w:w="27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1,211</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8"/>
        </w:trPr>
        <w:tc>
          <w:tcPr>
            <w:tcW w:w="55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Total prepaid and other current assets</w:t>
            </w:r>
          </w:p>
        </w:tc>
        <w:tc>
          <w:tcPr>
            <w:tcW w:w="27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6,367</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2,441</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i w:val="1"/>
                <w:iCs w:val="1"/>
                <w:color w:val="auto"/>
              </w:rPr>
              <w:t>Accrued and Other Current Liabilities</w:t>
            </w:r>
          </w:p>
        </w:tc>
        <w:tc>
          <w:tcPr>
            <w:tcW w:w="2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5500" w:type="dxa"/>
            <w:vAlign w:val="bottom"/>
            <w:vMerge w:val="continue"/>
          </w:tcPr>
          <w:p>
            <w:pPr>
              <w:spacing w:after="0"/>
              <w:rPr>
                <w:sz w:val="24"/>
                <w:szCs w:val="24"/>
                <w:color w:val="auto"/>
              </w:rPr>
            </w:pPr>
          </w:p>
        </w:tc>
        <w:tc>
          <w:tcPr>
            <w:tcW w:w="2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500" w:type="dxa"/>
            <w:vAlign w:val="bottom"/>
          </w:tcPr>
          <w:p>
            <w:pPr>
              <w:spacing w:after="0"/>
              <w:rPr>
                <w:sz w:val="20"/>
                <w:szCs w:val="20"/>
                <w:color w:val="auto"/>
              </w:rPr>
            </w:pPr>
            <w:r>
              <w:rPr>
                <w:rFonts w:ascii="Arial" w:cs="Arial" w:eastAsia="Arial" w:hAnsi="Arial"/>
                <w:sz w:val="18"/>
                <w:szCs w:val="18"/>
                <w:color w:val="auto"/>
                <w:w w:val="92"/>
              </w:rPr>
              <w:t>Accrued and other current liabilities consist of the following (in thousands):</w:t>
            </w:r>
          </w:p>
        </w:tc>
        <w:tc>
          <w:tcPr>
            <w:tcW w:w="2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5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June 30,</w:t>
            </w:r>
          </w:p>
        </w:tc>
        <w:tc>
          <w:tcPr>
            <w:tcW w:w="220" w:type="dxa"/>
            <w:vAlign w:val="bottom"/>
          </w:tcPr>
          <w:p>
            <w:pPr>
              <w:spacing w:after="0"/>
              <w:rPr>
                <w:sz w:val="24"/>
                <w:szCs w:val="24"/>
                <w:color w:val="auto"/>
              </w:rPr>
            </w:pPr>
          </w:p>
        </w:tc>
        <w:tc>
          <w:tcPr>
            <w:tcW w:w="1220" w:type="dxa"/>
            <w:vAlign w:val="bottom"/>
          </w:tcPr>
          <w:p>
            <w:pPr>
              <w:jc w:val="center"/>
              <w:ind w:right="135"/>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8"/>
        </w:trPr>
        <w:tc>
          <w:tcPr>
            <w:tcW w:w="5500" w:type="dxa"/>
            <w:vAlign w:val="bottom"/>
            <w:tcBorders>
              <w:bottom w:val="single" w:sz="8" w:color="CCEEFF"/>
            </w:tcBorders>
          </w:tcPr>
          <w:p>
            <w:pPr>
              <w:spacing w:after="0"/>
              <w:rPr>
                <w:sz w:val="16"/>
                <w:szCs w:val="16"/>
                <w:color w:val="auto"/>
              </w:rPr>
            </w:pPr>
          </w:p>
        </w:tc>
        <w:tc>
          <w:tcPr>
            <w:tcW w:w="27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w w:val="89"/>
              </w:rPr>
              <w:t>2021</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24"/>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deposits</w:t>
            </w:r>
          </w:p>
        </w:tc>
        <w:tc>
          <w:tcPr>
            <w:tcW w:w="27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30"/>
        </w:trPr>
        <w:tc>
          <w:tcPr>
            <w:tcW w:w="5500" w:type="dxa"/>
            <w:vAlign w:val="bottom"/>
          </w:tcPr>
          <w:p>
            <w:pPr>
              <w:ind w:left="20"/>
              <w:spacing w:after="0"/>
              <w:rPr>
                <w:sz w:val="20"/>
                <w:szCs w:val="20"/>
                <w:color w:val="auto"/>
              </w:rPr>
            </w:pPr>
            <w:r>
              <w:rPr>
                <w:rFonts w:ascii="Arial" w:cs="Arial" w:eastAsia="Arial" w:hAnsi="Arial"/>
                <w:sz w:val="18"/>
                <w:szCs w:val="18"/>
                <w:color w:val="auto"/>
              </w:rPr>
              <w:t>Accrued compensation</w:t>
            </w:r>
          </w:p>
        </w:tc>
        <w:tc>
          <w:tcPr>
            <w:tcW w:w="2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2,478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1,618</w:t>
            </w: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Uninvoiced receipts</w:t>
            </w:r>
          </w:p>
        </w:tc>
        <w:tc>
          <w:tcPr>
            <w:tcW w:w="27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1,947</w:t>
            </w:r>
          </w:p>
        </w:tc>
        <w:tc>
          <w:tcPr>
            <w:tcW w:w="0" w:type="dxa"/>
            <w:vAlign w:val="bottom"/>
          </w:tcPr>
          <w:p>
            <w:pPr>
              <w:spacing w:after="0"/>
              <w:rPr>
                <w:sz w:val="1"/>
                <w:szCs w:val="1"/>
                <w:color w:val="auto"/>
              </w:rPr>
            </w:pPr>
          </w:p>
        </w:tc>
      </w:tr>
      <w:tr>
        <w:trPr>
          <w:trHeight w:val="230"/>
        </w:trPr>
        <w:tc>
          <w:tcPr>
            <w:tcW w:w="5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7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956</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48"/>
        </w:trPr>
        <w:tc>
          <w:tcPr>
            <w:tcW w:w="55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accrued and other current liabilities</w:t>
            </w:r>
          </w:p>
        </w:tc>
        <w:tc>
          <w:tcPr>
            <w:tcW w:w="27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6,259</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4,121</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2780" w:type="dxa"/>
            <w:vAlign w:val="bottom"/>
            <w:tcBorders>
              <w:top w:val="single" w:sz="8" w:color="CCEEFF"/>
              <w:bottom w:val="single" w:sz="8" w:color="CCEEFF"/>
            </w:tcBorders>
            <w:vMerge w:val="restart"/>
          </w:tcPr>
          <w:p>
            <w:pPr>
              <w:jc w:val="right"/>
              <w:ind w:right="2470"/>
              <w:spacing w:after="0"/>
              <w:rPr>
                <w:sz w:val="20"/>
                <w:szCs w:val="20"/>
                <w:color w:val="auto"/>
              </w:rPr>
            </w:pPr>
            <w:r>
              <w:rPr>
                <w:rFonts w:ascii="Arial" w:cs="Arial" w:eastAsia="Arial" w:hAnsi="Arial"/>
                <w:sz w:val="18"/>
                <w:szCs w:val="18"/>
                <w:color w:val="auto"/>
                <w:w w:val="99"/>
              </w:rPr>
              <w:t>16</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5500" w:type="dxa"/>
            <w:vAlign w:val="bottom"/>
          </w:tcPr>
          <w:p>
            <w:pPr>
              <w:spacing w:after="0"/>
              <w:rPr>
                <w:sz w:val="24"/>
                <w:szCs w:val="24"/>
                <w:color w:val="auto"/>
              </w:rPr>
            </w:pPr>
          </w:p>
        </w:tc>
        <w:tc>
          <w:tcPr>
            <w:tcW w:w="27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500" w:type="dxa"/>
            <w:vAlign w:val="bottom"/>
            <w:tcBorders>
              <w:bottom w:val="single" w:sz="8" w:color="9A9A9A"/>
            </w:tcBorders>
          </w:tcPr>
          <w:p>
            <w:pPr>
              <w:spacing w:after="0"/>
              <w:rPr>
                <w:sz w:val="10"/>
                <w:szCs w:val="10"/>
                <w:color w:val="auto"/>
              </w:rPr>
            </w:pPr>
          </w:p>
        </w:tc>
        <w:tc>
          <w:tcPr>
            <w:tcW w:w="27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Debt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Runway Growth Loan Agreement</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November 27, 2018, the Company entered into a Loan and Security Agreement with Runway Growth Credit Fund Inc. (“Runway Loan and Security Agreement”). The Runway Loan and Security Agreement provided for loans in an aggregate principal amount up to $10.0 million with a loan maturity date of November 15, 2021. The loan carried an interest rate equal to LIBOR plus 8.5%, unless LIBOR becomes no longer attainable or ceases to fairly reflect the costs of the lender, in which case the applicable interest rate shall be Prime Rate plus 6.0%. In an event of default, annual interest is increased by 5.0% above the otherwise applicable rate. The loan’s annual effective interest rate was approximately 16.4% for each of the six months ended June 30, 2021 and 2020.</w:t>
      </w:r>
    </w:p>
    <w:p>
      <w:pPr>
        <w:spacing w:after="0" w:line="138"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In conjunction with the Runway Loan and Security Agreement, the Company issued a warrant to purchase 35,348 shares of Series A redeemable convertible preferred stock (the “Series A Preferred Stock”) of the Company (4.0% of original principal amount of $10.0 million, divided by the exercise price), with an exercise price of $11.3518 per share. The fair value of this warrant was estimated to be $0.1 million and accounted for as a debt discount. On August 5, 2019, in connection with the second amendment to the Runway Loan and Security Agreement, the Company amended the warrant issued to Runway Growth to increase the number of shares available to purchase to 53,023 shares of Series A Preferred Stock of the Company. The aggregate value of the warrants increased by $0.1 million after the warrant modification.</w:t>
      </w:r>
    </w:p>
    <w:p>
      <w:pPr>
        <w:spacing w:after="0" w:line="124"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The warrants were exercised on March 11, 2021 and the warrant liability was remeasured to fair value with the increase recognized as a loss of $0.6 million for the three and six months ended June 30, 2021 within other income (expense), net in the consolidated statements of operations and comprehensive loss. The warrant liability was remeasured to fair value as of June 30, 2020 and the reduction was recognized as a gain of $0.2 million.</w:t>
      </w:r>
    </w:p>
    <w:p>
      <w:pPr>
        <w:spacing w:after="0" w:line="95"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On March 26, 2021 the Company terminated the Runway Loan and Security Agreement and repaid the $7.0 million principal amount outstanding as well as interest and fees amounting to $0.4 million. The Company incurred no prepayment fees in connection with the termination and all liens and security interests securing the loan made pursuant to the Runway Loan and Security Agreement were released upon termination. As of June 30, 2021 and December 31, 2020, the outstanding principal balance of the loan was nil and $7.0 million,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Promissory notes</w:t>
      </w:r>
    </w:p>
    <w:p>
      <w:pPr>
        <w:spacing w:after="0" w:line="17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Company issued a $5 million promissory note in January 2021 to certain current investors of the Company (or their respective affiliates) to help continue to fund the Company’s ongoing operations through the consummation of the Merger. The note accrued interest at a rate equal to LIBOR plus 8.5% per annum and was repaid on March 11, 2021 in accordance with its terms in connection with the consummation of the Merger.</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Warrants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A and B Redeemable Convertible Preferred Stock Warrants and Tranche Liability</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November 27, 2018, in connection with the execution of the Runway Loan and Security Agreement, OTI issued a warrant to purchase 35,348 shares of Series A Preferred Stock of OTI at an exercise price of $11.3518 per share (the “Runway warrant”). On August 5, 2019, in connection with the second amendment to the Runway Loan and Security Agreement, OTI amended the Runway warrant to increase the number of shares available to purchase to 53,023 shares of Series A Preferred Stock of OTI at an exercise price of $11.3518 per share.</w:t>
      </w:r>
    </w:p>
    <w:p>
      <w:pPr>
        <w:spacing w:after="0" w:line="133"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The Runway warrants included a cashless exercise provision under which their holders could, in lieu of payment of the exercise price in cash, surrender the Runway warrant and receive a net amount of shares based on the fair market value of OTI’s stock at the time of exercise of the warrants after deduction of the aggregate exercise price. The Runway warrants contained provisions for adjustment of the exercise price and number of shares issuable upon the exercise of the Runway warrants in the event of certain stock dividends, stock splits, reorganizations, reclassifications, and consolidations.</w:t>
      </w:r>
    </w:p>
    <w:p>
      <w:pPr>
        <w:spacing w:after="0" w:line="103"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fair value of the warrants issued was recorded as of the date of initial issuance in the amount of $0.1 million. The subsequent issuance of warrants pursuant to the August 5, 2019 amendment to the Runway Loan and Security Agreement was recorded in the amount of $0.1 million. Immediately prior to the Merger, the warrants were exercised in full in accordance with their terms.</w:t>
      </w:r>
    </w:p>
    <w:p>
      <w:pPr>
        <w:spacing w:after="0" w:line="13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On April 3, 2020, in connection with the closing of the Series B redeemable convertible preferred stock, OTI issued a warrant to purchase 4,513,993 shares of Series B redeemable convertible preferred stock of the Company at an exercise price of</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$0.3323 per share (the “Series B warrants”). The Series B warrants could be exercised prior to the earliest to occur of (i) the 10 year anniversary of the date of issuance, (ii) the consummation of a liquidation transaction, or (iii) the consummation of an initial public offering. The Series B warrants included a cashless exercise provision under which their holders may, in lieu of payment of the exercise price in cash, surrender the warrant and receive a net amount of shares based on the fair market value of the Company’s stock at the time of exercise of the warrants after deduction of the aggregate exercise price. The Series B warrants contained provisions for adjustment of the exercise price and number of shares issuable upon the exercise of the Series B warrants in the event of certain stock dividends, stock splits, reorganizations, reclassifications, and consolidations.</w:t>
      </w:r>
    </w:p>
    <w:p>
      <w:pPr>
        <w:spacing w:after="0" w:line="124"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Series B warrants were initially recognized as a liability at a fair value of $0.7 million. The Series B warrants were exercised on February 11, 2021 and the warrant liability was remeasured to fair value as of that date, resulting in a loss of $8.3 million for the six months ended June 30, 2021, classified within other income (expense), net in the consolidated statements of operations and comprehensive loss. Upon exercise redeemable convertible preferred stock converted into common stock pursuant to the conversion rate effective immediately prior to the Merger.</w:t>
      </w:r>
    </w:p>
    <w:p>
      <w:pPr>
        <w:spacing w:after="0" w:line="117"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Historically, value was assigned to each class of equity securities using an option pricing model method (“OPM”). In September 2020, OTI began allocating the equity value using a hybrid method that utilizes a combination of the OPM and the probability weighted expected return method (“PWERM”). The PWERM is a scenario-based methodology that estimates the fair value of equity securities based upon an analysis of future values for OTI, assuming various outcomes. As the probability of a transaction with a special purpose acquisition company (“SPAC”) increased, the fair value of the redeemable convertible preferred stock warrant liability increased as of the date of the exercise.</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The redeemable convertible preferred stock warrants were valued using the following assumptions under the Black-Scholes option-pricing model:</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Initial Issuance</w:t>
            </w:r>
          </w:p>
        </w:tc>
        <w:tc>
          <w:tcPr>
            <w:tcW w:w="220" w:type="dxa"/>
            <w:vAlign w:val="bottom"/>
          </w:tcPr>
          <w:p>
            <w:pPr>
              <w:spacing w:after="0"/>
              <w:rPr>
                <w:sz w:val="14"/>
                <w:szCs w:val="1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Subsequent</w:t>
            </w:r>
          </w:p>
        </w:tc>
        <w:tc>
          <w:tcPr>
            <w:tcW w:w="220" w:type="dxa"/>
            <w:vAlign w:val="bottom"/>
          </w:tcPr>
          <w:p>
            <w:pPr>
              <w:spacing w:after="0"/>
              <w:rPr>
                <w:sz w:val="14"/>
                <w:szCs w:val="14"/>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b w:val="1"/>
                <w:bCs w:val="1"/>
                <w:color w:val="auto"/>
              </w:rPr>
              <w:t>February 11,</w:t>
            </w:r>
          </w:p>
        </w:tc>
        <w:tc>
          <w:tcPr>
            <w:tcW w:w="260" w:type="dxa"/>
            <w:vAlign w:val="bottom"/>
          </w:tcPr>
          <w:p>
            <w:pPr>
              <w:spacing w:after="0"/>
              <w:rPr>
                <w:sz w:val="14"/>
                <w:szCs w:val="14"/>
                <w:color w:val="auto"/>
              </w:rPr>
            </w:pPr>
          </w:p>
        </w:tc>
        <w:tc>
          <w:tcPr>
            <w:tcW w:w="1200" w:type="dxa"/>
            <w:vAlign w:val="bottom"/>
          </w:tcPr>
          <w:p>
            <w:pPr>
              <w:jc w:val="right"/>
              <w:ind w:right="335"/>
              <w:spacing w:after="0"/>
              <w:rPr>
                <w:sz w:val="20"/>
                <w:szCs w:val="20"/>
                <w:color w:val="auto"/>
              </w:rPr>
            </w:pPr>
            <w:r>
              <w:rPr>
                <w:rFonts w:ascii="Arial" w:cs="Arial" w:eastAsia="Arial" w:hAnsi="Arial"/>
                <w:sz w:val="14"/>
                <w:szCs w:val="14"/>
                <w:b w:val="1"/>
                <w:bCs w:val="1"/>
                <w:color w:val="auto"/>
              </w:rPr>
              <w:t>March 11,</w:t>
            </w:r>
          </w:p>
        </w:tc>
      </w:tr>
      <w:tr>
        <w:trPr>
          <w:trHeight w:val="188"/>
        </w:trPr>
        <w:tc>
          <w:tcPr>
            <w:tcW w:w="3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Date</w:t>
            </w:r>
          </w:p>
        </w:tc>
        <w:tc>
          <w:tcPr>
            <w:tcW w:w="220" w:type="dxa"/>
            <w:vAlign w:val="bottom"/>
          </w:tcPr>
          <w:p>
            <w:pPr>
              <w:spacing w:after="0"/>
              <w:rPr>
                <w:sz w:val="16"/>
                <w:szCs w:val="16"/>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Issuance Date</w:t>
            </w:r>
          </w:p>
        </w:tc>
        <w:tc>
          <w:tcPr>
            <w:tcW w:w="220" w:type="dxa"/>
            <w:vAlign w:val="bottom"/>
          </w:tcPr>
          <w:p>
            <w:pPr>
              <w:spacing w:after="0"/>
              <w:rPr>
                <w:sz w:val="16"/>
                <w:szCs w:val="16"/>
                <w:color w:val="auto"/>
              </w:rPr>
            </w:pPr>
          </w:p>
        </w:tc>
        <w:tc>
          <w:tcPr>
            <w:tcW w:w="1260" w:type="dxa"/>
            <w:vAlign w:val="bottom"/>
          </w:tcPr>
          <w:p>
            <w:pPr>
              <w:jc w:val="right"/>
              <w:ind w:right="51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jc w:val="right"/>
              <w:ind w:right="495"/>
              <w:spacing w:after="0"/>
              <w:rPr>
                <w:sz w:val="20"/>
                <w:szCs w:val="20"/>
                <w:color w:val="auto"/>
              </w:rPr>
            </w:pPr>
            <w:r>
              <w:rPr>
                <w:rFonts w:ascii="Arial" w:cs="Arial" w:eastAsia="Arial" w:hAnsi="Arial"/>
                <w:sz w:val="14"/>
                <w:szCs w:val="14"/>
                <w:b w:val="1"/>
                <w:bCs w:val="1"/>
                <w:color w:val="auto"/>
              </w:rPr>
              <w:t>2021</w:t>
            </w:r>
          </w:p>
        </w:tc>
      </w:tr>
      <w:tr>
        <w:trPr>
          <w:trHeight w:val="224"/>
        </w:trPr>
        <w:tc>
          <w:tcPr>
            <w:tcW w:w="3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price</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5.80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5.80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7.11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10.27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8.44</w:t>
            </w:r>
          </w:p>
        </w:tc>
      </w:tr>
      <w:tr>
        <w:trPr>
          <w:trHeight w:val="229"/>
        </w:trPr>
        <w:tc>
          <w:tcPr>
            <w:tcW w:w="3400" w:type="dxa"/>
            <w:vAlign w:val="bottom"/>
          </w:tcPr>
          <w:p>
            <w:pPr>
              <w:ind w:left="20"/>
              <w:spacing w:after="0"/>
              <w:rPr>
                <w:sz w:val="20"/>
                <w:szCs w:val="20"/>
                <w:color w:val="auto"/>
              </w:rPr>
            </w:pPr>
            <w:r>
              <w:rPr>
                <w:rFonts w:ascii="Arial" w:cs="Arial" w:eastAsia="Arial" w:hAnsi="Arial"/>
                <w:sz w:val="18"/>
                <w:szCs w:val="18"/>
                <w:color w:val="auto"/>
              </w:rPr>
              <w:t>Expected term (years)</w:t>
            </w:r>
          </w:p>
        </w:tc>
        <w:tc>
          <w:tcPr>
            <w:tcW w:w="200" w:type="dxa"/>
            <w:vAlign w:val="bottom"/>
          </w:tcPr>
          <w:p>
            <w:pPr>
              <w:spacing w:after="0"/>
              <w:rPr>
                <w:sz w:val="19"/>
                <w:szCs w:val="19"/>
                <w:color w:val="auto"/>
              </w:rPr>
            </w:pP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ind w:right="155"/>
              <w:spacing w:after="0"/>
              <w:rPr>
                <w:sz w:val="20"/>
                <w:szCs w:val="20"/>
                <w:color w:val="auto"/>
              </w:rPr>
            </w:pPr>
            <w:r>
              <w:rPr>
                <w:rFonts w:ascii="Arial" w:cs="Arial" w:eastAsia="Arial" w:hAnsi="Arial"/>
                <w:sz w:val="18"/>
                <w:szCs w:val="18"/>
                <w:color w:val="auto"/>
              </w:rPr>
              <w:t>9.31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155"/>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35"/>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ind w:right="155"/>
              <w:spacing w:after="0"/>
              <w:rPr>
                <w:sz w:val="20"/>
                <w:szCs w:val="20"/>
                <w:color w:val="auto"/>
              </w:rPr>
            </w:pPr>
            <w:r>
              <w:rPr>
                <w:rFonts w:ascii="Arial" w:cs="Arial" w:eastAsia="Arial" w:hAnsi="Arial"/>
                <w:sz w:val="18"/>
                <w:szCs w:val="18"/>
                <w:color w:val="auto"/>
              </w:rPr>
              <w:t>2.00</w:t>
            </w:r>
          </w:p>
        </w:tc>
      </w:tr>
      <w:tr>
        <w:trPr>
          <w:trHeight w:val="229"/>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57.81 %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57.35 %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76.00 %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76.00 %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76.00 %</w:t>
            </w:r>
          </w:p>
        </w:tc>
      </w:tr>
      <w:tr>
        <w:trPr>
          <w:trHeight w:val="230"/>
        </w:trPr>
        <w:tc>
          <w:tcPr>
            <w:tcW w:w="340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3.06 %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1.75 %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0.13 %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0.13 %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0.13 %</w:t>
            </w:r>
          </w:p>
        </w:tc>
      </w:tr>
      <w:tr>
        <w:trPr>
          <w:trHeight w:val="229"/>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0 %</w:t>
            </w: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B Redeemable Convertible Preferred Stock Tranche</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April 2020 and May 2020, the Company issued 62,505,102 shares of Series B redeemable convertible preferred stock at $0.3323 per share. For each share purchased, the purchaser had an option to purchase an additional share of Series B redeemable convertible preferred stock at $0.3323 per share, exercisable at any time prior to August 13, 2020 (the “Tranche Right”). The Company determined that the Tranche Right represented a freestanding obligation of the Company to issue additional shares of contingently redeemable shares if exercised by the holder. The freestanding redeemable convertible preferred stock tranche liability was initially recorded at fair value, with fair value changes recorded within other income (expense), net in the consolidated statements of operations and comprehensive loss.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Placement Warrants</w:t>
      </w:r>
    </w:p>
    <w:p>
      <w:pPr>
        <w:spacing w:after="0" w:line="1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Simultaneously with the closing of the Company’s initial public offering (the “IPO”) in August 2020, the sponsor of CLA, Colonnade Sponsor LLC, purchased an aggregate of 6,000,000 Private Placement warrants at a price of $1.00 per warrant, for an aggregate purchase price of $6,000,000. The Private Placement warrants will become exercisable 12 months following the closing of the Company’s IPO, and will expire five years from the completion of the Merger, or earlier upon redemption or liquidation. Each Private Placement warrant will be exercisable for one Class A ordinary share at a price of $11.50 per share. On March 11, 2021, each outstanding Private Placement warrant automatically converted into a warrant to purchase one share of Ouster common stock pursuant to the Warrant Agreement.</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280"/>
        <w:spacing w:after="0" w:line="311" w:lineRule="auto"/>
        <w:rPr>
          <w:sz w:val="20"/>
          <w:szCs w:val="20"/>
          <w:color w:val="auto"/>
        </w:rPr>
      </w:pPr>
      <w:r>
        <w:rPr>
          <w:rFonts w:ascii="Arial" w:cs="Arial" w:eastAsia="Arial" w:hAnsi="Arial"/>
          <w:sz w:val="16"/>
          <w:szCs w:val="16"/>
          <w:color w:val="auto"/>
        </w:rPr>
        <w:t>The Private Placement warrants were initially recognized as a liability at a fair value of $19.4 million and the Private Placement warrant liability was remeasured to fair value as of March 31, 2021 and June 30, 2021, resulting in a gain of $4.6 million and $6.1 million for the three and six months ended June 30, 2021, classified within other income (expense), net in the condensed consolidated statements of operations and comprehensive loss.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The Private Placement warrants were valued using the following assumptions under the Black-Scholes option-pricing model:</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11, 2021</w:t>
            </w:r>
          </w:p>
        </w:tc>
        <w:tc>
          <w:tcPr>
            <w:tcW w:w="200" w:type="dxa"/>
            <w:vAlign w:val="bottom"/>
          </w:tcPr>
          <w:p>
            <w:pPr>
              <w:spacing w:after="0"/>
              <w:rPr>
                <w:sz w:val="16"/>
                <w:szCs w:val="16"/>
                <w:color w:val="auto"/>
              </w:rPr>
            </w:pPr>
          </w:p>
        </w:tc>
        <w:tc>
          <w:tcPr>
            <w:tcW w:w="142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 2021</w:t>
            </w:r>
          </w:p>
        </w:tc>
        <w:tc>
          <w:tcPr>
            <w:tcW w:w="240" w:type="dxa"/>
            <w:vAlign w:val="bottom"/>
          </w:tcPr>
          <w:p>
            <w:pPr>
              <w:spacing w:after="0"/>
              <w:rPr>
                <w:sz w:val="16"/>
                <w:szCs w:val="16"/>
                <w:color w:val="auto"/>
              </w:rPr>
            </w:pPr>
          </w:p>
        </w:tc>
        <w:tc>
          <w:tcPr>
            <w:tcW w:w="1300" w:type="dxa"/>
            <w:vAlign w:val="bottom"/>
          </w:tcPr>
          <w:p>
            <w:pPr>
              <w:jc w:val="right"/>
              <w:ind w:right="273"/>
              <w:spacing w:after="0"/>
              <w:rPr>
                <w:sz w:val="20"/>
                <w:szCs w:val="20"/>
                <w:color w:val="auto"/>
              </w:rPr>
            </w:pPr>
            <w:r>
              <w:rPr>
                <w:rFonts w:ascii="Arial" w:cs="Arial" w:eastAsia="Arial" w:hAnsi="Arial"/>
                <w:sz w:val="14"/>
                <w:szCs w:val="14"/>
                <w:b w:val="1"/>
                <w:bCs w:val="1"/>
                <w:color w:val="auto"/>
              </w:rPr>
              <w:t>June 30, 2021</w:t>
            </w:r>
          </w:p>
        </w:tc>
      </w:tr>
      <w:tr>
        <w:trPr>
          <w:trHeight w:val="229"/>
        </w:trPr>
        <w:tc>
          <w:tcPr>
            <w:tcW w:w="6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price</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12.00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8.50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12.49</w:t>
            </w: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Exercise price of warrant</w:t>
            </w:r>
          </w:p>
        </w:tc>
        <w:tc>
          <w:tcPr>
            <w:tcW w:w="220" w:type="dxa"/>
            <w:vAlign w:val="bottom"/>
          </w:tcPr>
          <w:p>
            <w:pPr>
              <w:spacing w:after="0"/>
              <w:rPr>
                <w:sz w:val="19"/>
                <w:szCs w:val="19"/>
                <w:color w:val="auto"/>
              </w:rPr>
            </w:pPr>
          </w:p>
        </w:tc>
        <w:tc>
          <w:tcPr>
            <w:tcW w:w="1320" w:type="dxa"/>
            <w:vAlign w:val="bottom"/>
          </w:tcPr>
          <w:p>
            <w:pPr>
              <w:jc w:val="right"/>
              <w:ind w:right="133"/>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ind w:left="780"/>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ind w:right="153"/>
              <w:spacing w:after="0"/>
              <w:rPr>
                <w:sz w:val="20"/>
                <w:szCs w:val="20"/>
                <w:color w:val="auto"/>
              </w:rPr>
            </w:pPr>
            <w:r>
              <w:rPr>
                <w:rFonts w:ascii="Arial" w:cs="Arial" w:eastAsia="Arial" w:hAnsi="Arial"/>
                <w:sz w:val="18"/>
                <w:szCs w:val="18"/>
                <w:color w:val="auto"/>
              </w:rPr>
              <w:t>11.5</w:t>
            </w: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(years)</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4.95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4.7</w:t>
            </w: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27.00 %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ind w:left="700"/>
              <w:spacing w:after="0"/>
              <w:rPr>
                <w:sz w:val="20"/>
                <w:szCs w:val="20"/>
                <w:color w:val="auto"/>
              </w:rPr>
            </w:pPr>
            <w:r>
              <w:rPr>
                <w:rFonts w:ascii="Arial" w:cs="Arial" w:eastAsia="Arial" w:hAnsi="Arial"/>
                <w:sz w:val="18"/>
                <w:szCs w:val="18"/>
                <w:color w:val="auto"/>
                <w:w w:val="90"/>
              </w:rPr>
              <w:t>43.00 %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43.00 %</w:t>
            </w: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0.78 %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ind w:left="800"/>
              <w:spacing w:after="0"/>
              <w:rPr>
                <w:sz w:val="20"/>
                <w:szCs w:val="20"/>
                <w:color w:val="auto"/>
              </w:rPr>
            </w:pPr>
            <w:r>
              <w:rPr>
                <w:rFonts w:ascii="Arial" w:cs="Arial" w:eastAsia="Arial" w:hAnsi="Arial"/>
                <w:sz w:val="18"/>
                <w:szCs w:val="18"/>
                <w:color w:val="auto"/>
                <w:w w:val="89"/>
              </w:rPr>
              <w:t>0.92 %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0.92 %</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Warrants</w:t>
      </w:r>
    </w:p>
    <w:p>
      <w:pPr>
        <w:spacing w:after="0" w:line="17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Company, in its IPO in August 2020, issued 20,000,000 units that each consisted of one Class A ordinary share and one half warrant to purchase a Class A ordinary share, which we refer to as CLA warrants before the Merger and Public warrants after the Merger. These warrants may only be exercised for a whole number of shares, and no fractional warrants were issued or issuable upon separation of the units and only whole warrants will trade. The warrants will become exercisable 12 months following the closing of the Company’s IPO, and will expire five years from the completion of the Merger, or earlier upon redemption or liquidation. Each Public warrant will be exercisable at a price of $11.50 per share. On March 11, 2021, upon the closing of the Merger pursuant to the Merger Agreement (Note 1), each of the 9,999,996 outstanding warrants, as adjusted for any fractional warrants that were not issued upon separation, was converted automatically into a redeemable Public warrant to purchase one share of the Company’s common stock. The Public warrants were recognized as equity upon the Merger in the amount of $17.9 million.</w:t>
      </w:r>
    </w:p>
    <w:p>
      <w:pPr>
        <w:spacing w:after="0" w:line="205"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Once the Public warrants become exercisable and prior to their expiration, the Company may redeem the Public warrants at a price of $0.01 per warrant, provided that the closing price of the Company’s common stock equals or exceeds $18.00 per share for any 20 trading days within a 30 trading-day period ending on the third trading day prior to the date on which the Company gives proper notice of such redemption to the warrants holders.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17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connection with two leases, the Company obtained two letters of credit from a bank as required by the lease agreements. If the Company defaults under the terms of the applicable lease, the lessor will be entitled to draw upon the letters of credit in the amount necessary to cure the default. The amounts covered by the letters of credit are collateralized by certificates of deposit, which are included in restricted cash on the condensed consolidated balance sheets as of June 30, 2021 and December 31, 2020. The outstanding amount of the letters of credit was $1.3 million as of June 30, 2021 and December 31, 2020.</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Non-cancelable purchase commitments</w:t>
      </w:r>
    </w:p>
    <w:p>
      <w:pPr>
        <w:spacing w:after="0" w:line="17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As of June 30, 2021, the Company had non-cancelable purchase commitments to a third-party contract manufacturer for approximately $5.7 million and other vendors for approximately $6.2 million.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71"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The Company is involved in various legal proceedings arising in the ordinary course of business. The Company accrues a liability when a loss is considered probable and the amount can be reasonably estimated. When a material loss contingency is reasonably possible but not probable, the Company does not record a liability, but instead discloses the nature and the amount of the claim, and an estimate of the loss or range of loss, if such an estimate can be made. Legal fees are expensed as incurred. Based on the opinion of legal counsel and other factors, management believes that the final disposition of these existing matters will not have a material adverse effect on the business, results of operations, financial condition, or cash flows of the Company.</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has identified certain claims as a result of which a loss may be incurred, but in the aggregate the loss is expected to be insignificant. This assessment is based on our current understanding of relevant facts and circumstances. As such, our view of these matters is subject to inherent uncertainties and may change in the future. Significant judgment is required in both the determination of probability and the determination as to whether an exposure is reasonably estimable. Actual outcomes of these legal and regulatory proceedings may materially differ from our current estimates. For other claims regarding proceedings that are in an initial phase, the Company is unable to estimate the range of possible loss, if any, but at this time believes that any loss related to such claims will not be material.</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2021 and December 31, 2020 there are no material litigation matters.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171"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From time to time, the Company enters into agreements in the ordinary course of business that include indemnification provisions. Generally, in these provisions the Company agrees to defend, indemnify, and hold harmless the indemnified parties for claims and losses suffered or incurred by such indemnified parties for which the Company is responsible under the applicable indemnification provisions. The terms of the indemnification provisions vary depending upon negotiations between the Company and its counterpart; however, typically, these indemnification obligations survive the term of the contract and the maximum potential amount of future payments the Company could be required to make pursuant to these provisions are uncapped. To date, the Company has never incurred costs to defend lawsuits or settle claims related to these indemnification provisions.</w:t>
      </w:r>
    </w:p>
    <w:p>
      <w:pPr>
        <w:spacing w:after="0" w:line="110"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The Company has also entered into indemnity agreements pursuant to which it has indemnified its directors and officers, to the extent legally permissible, against all liabilities reasonably incurred in connection with any action in which such individual may be involved by reason of such individual being or having been a director or executive officer, other than liabilities arising from willful misconduct of the individual. To date, the Company has never incurred costs to defend lawsuits or settle claims related to these indemnity agreements. The unaudited condensed consolidated financial statements do not include a liability for any potential obligations under the indemnification agreements at June 30, 2021 and December 31, 2020.</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Redeemable Convertible Preferred and Common Stock</w:t>
      </w:r>
    </w:p>
    <w:p>
      <w:pPr>
        <w:spacing w:after="0" w:line="17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Company’s common stock and warrants trade on the New York Stock Exchange under the symbol “OUST” and “OUSTWS”, respectively. Pursuant to the terms of the Second Amended and Restated Certificate of Incorporation, the Company is authorized and has available for issuance the following shares and classes of capital stock, each with a par value of $0.0001 per share: (i) 1,000,000,000 shares of common stock; (ii) 100,000,000 shares of preferred stock. Immediately following the Merger, there were 161,449,205 shares of common stock with a par value of $0.0001, and 15,999,996 warrants outstanding. The holder of each share of common stock is entitled to one vote.</w:t>
      </w:r>
    </w:p>
    <w:p>
      <w:pPr>
        <w:spacing w:after="0" w:line="13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Company has retroactively adjusted the shares issued and outstanding prior to March 11, 2021 to give effect to the exchange ratio established in the Merger Agreement to determine the number of shares of common stock into which they were converted.</w:t>
      </w:r>
    </w:p>
    <w:p>
      <w:pPr>
        <w:spacing w:after="0" w:line="11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Immediately prior to the Merger, OTI’s certificate of incorporation, as amended, authorized it to issue 342,367,887 shares of $0.00001 par value, with 210,956,516 shares designated as common stock and 131,411,372 shares of redeemable convertible preferred stock.</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Seed Financing and conversion</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April 2016, OTI issued 1,887,253 shares of Series Seed redeemable convertible preferred stock at $1.02 per share for net proceeds of $1.8 million, net of $0.1 million stock issuance costs. In April 2016, OTI issued 44,256 shares to an investor upon conversion of a note having a balance of principal and interest of $45,000. In May 2016, OTI issued 563,725 shares of Series Seed redeemable convertible preferred stock at $1.02 per share for net proceeds of $0.6 million. In July 2016, OTI issued 445,942 shares of Series Seed redeemable convertible preferred stock at $1.02 per share for net proceeds of $0.5 million.</w:t>
      </w:r>
    </w:p>
    <w:p>
      <w:pPr>
        <w:spacing w:after="0" w:line="134"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In April 2020, in order to induce the closing of the Series B Financing, the holders exercised the embedded conversion feature and all the outstanding Series Seed redeemable convertible preferred stock shares were converted to 2,941,176 shares of OTI’s common stock.</w:t>
      </w: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A Financing and conversion</w:t>
      </w:r>
    </w:p>
    <w:p>
      <w:pPr>
        <w:spacing w:after="0" w:line="17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October 2017, OTI issued 1,324,511 shares of Series A Preferred Stock at $11.3158 per share for net proceeds of $14.8 million, net of $0.2 million of stock issuance costs. In October 2017, OTI issued 1,253,556 shares of Series A Preferred Stock upon conversion of multiple notes having a principal and interest balance of $4.6 million. In December 2017, OTI issued 715,712 shares of Series A Preferred Stock at $11.3158 per share for net proceeds of $8.1 million.</w:t>
      </w:r>
    </w:p>
    <w:p>
      <w:pPr>
        <w:spacing w:after="0" w:line="13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 April 2020, in order to induce the closing of the Series B Financing, the holders exercised the embedded conversion feature and all of the outstanding Series A redeemable convertible preferred stock shares were converted to 3,293,779 shares of OTI’s common stock.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B Financing</w:t>
      </w:r>
    </w:p>
    <w:p>
      <w:pPr>
        <w:spacing w:after="0" w:line="171"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In April 2020, OTI issued 45,185,071 shares of Series B redeemable convertible preferred stock at $0.3323 per share for net proceeds of $15.1 million, less $0.1 million of stock issuance costs. In May 2020, OTI issued 17,320,031 shares of Series B redeemable convertible preferred stock at $0.3323 per share for net proceeds of $5.8 million, less $0.1 million of stock issuance costs. In July 2020, OTI issued 37,970,846 shares of Series B redeemable convertible preferred stock at $0.3323 per share for net proceeds of $12.5 million, less $0.1 million of stock issuance costs. In August 2020, OTI issued 25,286,587 shares of Series B redeemable convertible preferred stock at $0.3323 per share for net proceeds of $8.4 million, less $0.1 million of stock issuance costs.</w:t>
      </w:r>
    </w:p>
    <w:p>
      <w:pPr>
        <w:spacing w:after="0" w:line="107"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On March 11, 2021, upon the closing of the Transaction pursuant to the Merger Agreement (Note 1), all of the outstanding redeemable convertible preferred stock was converted to the Company’s common stock pursuant to the conversion rate effective immediately prior to the Transaction and the remaining amount was reclassified to additional paid-in capital. As of June 30, 2021, the Company does not have any redeemable convertible preferred stock outstanding.</w:t>
      </w:r>
    </w:p>
    <w:p>
      <w:pPr>
        <w:spacing w:after="0" w:line="13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Prior to the Merger, redeemable convertible preferred stock as of December 31, 2020, consisted of the following (in thousands, except share and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1"/>
              </w:rPr>
              <w:t>December 31, 2020</w:t>
            </w: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9"/>
              </w:rPr>
              <w:t>Issue Price</w:t>
            </w:r>
          </w:p>
        </w:tc>
        <w:tc>
          <w:tcPr>
            <w:tcW w:w="15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Shares</w:t>
            </w:r>
          </w:p>
        </w:tc>
        <w:tc>
          <w:tcPr>
            <w:tcW w:w="15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9"/>
              </w:rPr>
              <w:t>Shares</w:t>
            </w:r>
          </w:p>
        </w:tc>
        <w:tc>
          <w:tcPr>
            <w:tcW w:w="220" w:type="dxa"/>
            <w:vAlign w:val="bottom"/>
          </w:tcPr>
          <w:p>
            <w:pPr>
              <w:spacing w:after="0"/>
              <w:rPr>
                <w:sz w:val="11"/>
                <w:szCs w:val="11"/>
                <w:color w:val="auto"/>
              </w:rPr>
            </w:pPr>
          </w:p>
        </w:tc>
        <w:tc>
          <w:tcPr>
            <w:tcW w:w="12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Liquidation</w:t>
            </w:r>
          </w:p>
        </w:tc>
        <w:tc>
          <w:tcPr>
            <w:tcW w:w="260" w:type="dxa"/>
            <w:vAlign w:val="bottom"/>
          </w:tcPr>
          <w:p>
            <w:pPr>
              <w:spacing w:after="0"/>
              <w:rPr>
                <w:sz w:val="11"/>
                <w:szCs w:val="11"/>
                <w:color w:val="auto"/>
              </w:rPr>
            </w:pPr>
          </w:p>
        </w:tc>
        <w:tc>
          <w:tcPr>
            <w:tcW w:w="1160" w:type="dxa"/>
            <w:vAlign w:val="bottom"/>
            <w:vMerge w:val="restart"/>
          </w:tcPr>
          <w:p>
            <w:pPr>
              <w:jc w:val="center"/>
              <w:ind w:right="182"/>
              <w:spacing w:after="0"/>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35"/>
        </w:trPr>
        <w:tc>
          <w:tcPr>
            <w:tcW w:w="37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Series</w:t>
            </w:r>
          </w:p>
        </w:tc>
        <w:tc>
          <w:tcPr>
            <w:tcW w:w="24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15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Issued and</w:t>
            </w:r>
          </w:p>
        </w:tc>
        <w:tc>
          <w:tcPr>
            <w:tcW w:w="22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7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per share</w:t>
            </w: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Authorized</w:t>
            </w: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Outstanding</w:t>
            </w:r>
          </w:p>
        </w:tc>
        <w:tc>
          <w:tcPr>
            <w:tcW w:w="22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Amount</w:t>
            </w:r>
          </w:p>
        </w:tc>
        <w:tc>
          <w:tcPr>
            <w:tcW w:w="260" w:type="dxa"/>
            <w:vAlign w:val="bottom"/>
          </w:tcPr>
          <w:p>
            <w:pPr>
              <w:spacing w:after="0"/>
              <w:rPr>
                <w:sz w:val="16"/>
                <w:szCs w:val="16"/>
                <w:color w:val="auto"/>
              </w:rPr>
            </w:pPr>
          </w:p>
        </w:tc>
        <w:tc>
          <w:tcPr>
            <w:tcW w:w="1160" w:type="dxa"/>
            <w:vAlign w:val="bottom"/>
          </w:tcPr>
          <w:p>
            <w:pPr>
              <w:jc w:val="center"/>
              <w:ind w:right="182"/>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49"/>
        </w:trPr>
        <w:tc>
          <w:tcPr>
            <w:tcW w:w="36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Series B</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CCEEFF"/>
            </w:tcBorders>
            <w:shd w:val="clear" w:color="auto" w:fill="CCEEFF"/>
          </w:tcPr>
          <w:p>
            <w:pPr>
              <w:jc w:val="right"/>
              <w:ind w:right="2"/>
              <w:spacing w:after="0"/>
              <w:rPr>
                <w:sz w:val="20"/>
                <w:szCs w:val="20"/>
                <w:color w:val="auto"/>
              </w:rPr>
            </w:pPr>
            <w:r>
              <w:rPr>
                <w:rFonts w:ascii="Arial" w:cs="Arial" w:eastAsia="Arial" w:hAnsi="Arial"/>
                <w:sz w:val="18"/>
                <w:szCs w:val="18"/>
                <w:color w:val="auto"/>
              </w:rPr>
              <w:t>0.33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131,411,372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rPr>
              <w:t>88,434,754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39,225</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Prior to the Merger, the significant features of OTI’s redeemable convertible preferred stock were as follows: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provisions</w:t>
      </w:r>
    </w:p>
    <w:p>
      <w:pPr>
        <w:spacing w:after="0" w:line="1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Series Seed, Series A and Series B preferred stockholders are entitled to receive dividends prior and in preference to any dividends on the common stock, at a rate of $0.0612, $0.6789 and $0.019938 per share, respectively, per annum on a non-cumulative basis, when and if declared by the board of directors, subject to the prior rights of the preferred stockholders. After payment of such dividend, any additional dividends would be distributed among the holders of the preferred stock and common stock pro rata based on the number of shares of common stock then held by each holder (assuming conversion of all shares of preferred stock into common stock).</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 preference</w:t>
      </w:r>
    </w:p>
    <w:p>
      <w:pPr>
        <w:spacing w:after="0" w:line="17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In the event of liquidation, dissolution or winding up of the Company, merger or a reduction of capital through the sale or lease of all or substantial part of the business of the Company, before any distribution or payment were to be made to the holders of common stock, the holders of Series Seed, Series A and Series B redeemable convertible preferred stock were entitled to receive $1.02, $11.3518 and $0.3323 per share (subject to adjustment in the event of any share dividend, share split, combination, or other recapitalization), respectively, plus any declared but unpaid dividends on such shares. If the assets and funds were insufficient for such distribution, they were entitled to receive a pro rata distribution, based on the relative preferred stock ownership and in proportion to the preferential amount each such holder is otherwise entitled. If the assets and funds are in excess of amounts distributed to the preferred stockholders, the remaining assets and funds shall be distributed pro rata to the holders of the common stock. If the holders of the redeemable convertible preferred stock would receive a greater distribution if they converted to common stock, then such conversion would have been assumed prior to distribution.</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rights</w:t>
      </w:r>
    </w:p>
    <w:p>
      <w:pPr>
        <w:spacing w:after="0" w:line="171"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The holders of Series Seed, Series A and Series B redeemable convertible preferred stock had a right to convert their stock into nonassessable shares of common stock at a conversion rate equal to their respective liquidation preferences divided by a conversion price of $1.02, $11.3518 and $0.3323, respectively, which was adjusted for any stock splits, stock dividends, combination, subdivisions, recapitalizations or similar transactions. On March 11, 2021, upon the closing of the Transaction pursuant to the Merger Agreement (Note 1), all of the outstanding redeemable convertible preferred stock was converted to the Company’s common stock pursuant to the conversion rate effective immediately prior to the Transaction and the remaining amount was reclassified to additional paid-in capital.</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 rights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redeemable convertible preferred stock were recorded in mezzanine equity because while it was not currently redeemable, it could become redeemable at the option of the preferred stockholders upon the occurrence of certain deemed liquidation events that were considered not solely within the Company’s control for an amount equal to the shares respective liquidation preference plus declared and unpaid dividends.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17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Each holder of redeemable convertible preferred stock was entitled to the number of votes equal to the number of shares of common stock into which such redeemable convertible preferred stock could then be converted and, with respect to such vote, holders of redeemable convertible preferred stock were entitled to vote together with the holders of common stock as a single class on all matters.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Stock-based compensation</w:t>
      </w:r>
    </w:p>
    <w:p>
      <w:pPr>
        <w:spacing w:after="0" w:line="175"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We currently have two equity incentive plans, our 2015 Stock Plan (the “2015 Plan”) and our 2021 Incentive Award Plan (the “2021 Plan”). As of March 11, 2021, we no longer grant equity awards pursuant to our 2015 Plan, but it continues to govern the terms of outstanding stock options that were granted prior to that date.</w:t>
      </w:r>
    </w:p>
    <w:p>
      <w:pPr>
        <w:spacing w:after="0" w:line="13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On October 12, 2020, the Company issued $1.1 million partial recourse promissory notes to certain executives and employees. The promissory notes carried 0.38% annual cash interest and were due on earliest of 9th anniversary of the date of issuance of the notes, or termination of employment of the executive/employee, or filing by the Company of a registration statement under the Securities Act of 1933, or promissory notes being prohibited under Section 13(k) of the Securities Exchange Act of 1934 or closing of change a in control of the Company. At issuance, the promissory notes were used to settle certain executives’ and employees’ obligations for 2,883,672 vested and 4,603,833 unvested ISOs that were exercised and no cash was exchanged. In March 2021, in connection with the close of the Merger, the Company forgave half of the respective obligations under the promissory notes for certain executives and required such noteholders to repay the remaining balance of $0.3 million under each of their respective notes. Additional compensation expense of $0.3 million was recognized in general and administrative expenses in the three months ended March 31, 2021 and the six months ended June 30, 2021 for the value of the loans forgiven. Obligations under the promissory notes for non-executive noteholders of $0.5 million is outstanding as of June 30, 2021.</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Incentive Award Plan</w:t>
      </w:r>
    </w:p>
    <w:p>
      <w:pPr>
        <w:spacing w:after="0" w:line="17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On March 11, 2021, the Board of Directors approved the 2021 Plan. The 2021 Plan provides for the grant of stock options, stock appreciation rights, restricted stock units, performance stock unit awards and other forms of equity compensation (collectively, “equity awards”). In addition, the 2021 Plan provides for the grant of performance bonus awards. All awards within the 2021 Plan may be granted to employees, including officers, as well as directors and consultants, within the limit defined in the 2021 Plan. 18,558,576 shares of the Company’s common stock have been initially reserved for issuance under the 2021 Plan. The 2021 Plan includes an evergreen provision that provides for an annual increase in the number of shares of common stock available for issuance thereunder beginning on January 1, 2022 and ending on January 1, 2031, equal to 5% of the shares of Company common stock outstanding on the last day of the immediately preceding fiscal year and such smaller number of shares as determined by the Board of Directors or a committee thereof. As of June 30, 2021, the Company had 15,503,561 shares of common stock available pursuant to new awards under the 2021 Plan.</w:t>
      </w:r>
    </w:p>
    <w:p>
      <w:pPr>
        <w:spacing w:after="0" w:line="11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Options and stock appreciation rights under the 2021 Plan will be exercisable at such times and as specified in the Award Agreement (as defined in the 2021 Plan) provided that the term of an option or stock appreciation will not exceed ten years. Options granted under the 2021 Plan may be Incentive Stock Options (ISOs) or Non-statutory Stock Options, as determined by the Administrator at the time of grant of an option and subject to the applicable provisions of Section 422 of the Internal Revenue Code and the regulations promulgated thereunder. The exercise price of an option will be no less than 100% of the fair</w:t>
      </w: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market value of the shares of common stock on the date of grant. The exercise price of an ISO granted to a 10% shareholder will be no less than 110% of the fair market value of the shares on the date of grant and the term of the ISO will not exceed five years. The Company granted an option to purchase 1,614,492 shares of Company common stock to a senior advisor serving on the Company’s board of directors as chair with 20% of the total number of such option shares vesting on each of the first five anniversaries from the senior advisor’s employment start date, subject to his continued employment with the Company and provided that option grant will only be exercisable in the event that the closing trading price per share of the Company stock equals or exceeds 130% of the exercise price per share of the option for 30 consecutive trading days. The senior advisor has resigned in June 2021 and the option to purchase 1,614,492 shares of Company common stock was forfeited.</w:t>
      </w:r>
    </w:p>
    <w:p>
      <w:pPr>
        <w:spacing w:after="0" w:line="12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Restricted stock and restricted stock units granted to employees generally vest as to 25% of the shares on the first anniversary service date of the grant, and quarterly thereafter so as to be 100% vested on the fourth anniversary of the vesting commencement date. All participants holding shares of restricted stock will be entitled to all the rights of a stockholder with respect to such shares and have voting power and other rights with respect to such shares, provided, however, that such shares are held in escrow and subject to forfeiture until the shares vested. The Company granted 807,246 restricted stock units to a senior advisor who serves as chair of the board of directors with vesting of 20% of the total number of restricted stock units on each of the first five anniversaries from the employment start date, subject to continued employment with the Company. The senior advisor has resigned in June 2021 and all restricted stock unit awards granted were forfeited.</w:t>
      </w:r>
    </w:p>
    <w:p>
      <w:pPr>
        <w:spacing w:after="0" w:line="14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In March 2021, the Company also granted 152,628 restricted stock units to several members of the board of directors subject to standard terms of these awards.</w:t>
      </w:r>
    </w:p>
    <w:p>
      <w:pPr>
        <w:spacing w:after="0" w:line="11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Vesting schedules for performance stock unit awards and other equity awards vary and are linked to one or more of performance or other specific criteria, including service to the Company, determined to be appropriate by the Board, in each case on a specified date or dates or over any period or periods determined by the Board. The performance condition awards are automatically forfeited in their entirety, without any cost to or action by the Company, if there has been no achievement of the performance condition. The Company granted 807,246 performance stock units to a senior advisor who serves as chair of the board of directors with vesting earned over four years based on achieving increases in the Company’s stock price from the date of grant ranging from 150%, to earn 25% of the performance stock units, to 300% to earn the entire award of performance stock units. Each performance stock unit constitutes the right to receive one share of Company common stock upon vesting. As noted above, the senior advisor has resigned in June 2021 and all performance stock unit awards granted were forfeited.</w:t>
      </w:r>
    </w:p>
    <w:p>
      <w:pPr>
        <w:spacing w:after="0" w:line="12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Performance bonus awards are denominated in cash, stock or a combination thereof, and shall be payable upon the attainment of performance goals that are established by the Board and relate to one or more of performance or other specific criteria, including service to the Company, in each case on a specified date or dates or over any period or periods determined by the Board.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for the six months ended June 30, 2021 is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Weighted-</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240" w:type="dxa"/>
            <w:vAlign w:val="bottom"/>
          </w:tcPr>
          <w:p>
            <w:pPr>
              <w:spacing w:after="0"/>
              <w:rPr>
                <w:sz w:val="11"/>
                <w:szCs w:val="11"/>
                <w:color w:val="auto"/>
              </w:rPr>
            </w:pPr>
          </w:p>
        </w:tc>
        <w:tc>
          <w:tcPr>
            <w:tcW w:w="14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Weighted-</w:t>
            </w:r>
          </w:p>
        </w:tc>
        <w:tc>
          <w:tcPr>
            <w:tcW w:w="15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1"/>
                <w:szCs w:val="11"/>
                <w:color w:val="auto"/>
              </w:rPr>
            </w:pPr>
          </w:p>
        </w:tc>
        <w:tc>
          <w:tcPr>
            <w:tcW w:w="1180" w:type="dxa"/>
            <w:vAlign w:val="bottom"/>
            <w:vMerge w:val="restart"/>
          </w:tcPr>
          <w:p>
            <w:pPr>
              <w:jc w:val="center"/>
              <w:ind w:right="156"/>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35"/>
        </w:trPr>
        <w:tc>
          <w:tcPr>
            <w:tcW w:w="5240" w:type="dxa"/>
            <w:vAlign w:val="bottom"/>
          </w:tcPr>
          <w:p>
            <w:pPr>
              <w:spacing w:after="0"/>
              <w:rPr>
                <w:sz w:val="11"/>
                <w:szCs w:val="11"/>
                <w:color w:val="auto"/>
              </w:rPr>
            </w:pPr>
          </w:p>
        </w:tc>
        <w:tc>
          <w:tcPr>
            <w:tcW w:w="14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5"/>
              </w:rPr>
              <w:t>Underlying</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152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4"/>
              </w:rPr>
              <w:t>Remaining</w:t>
            </w:r>
          </w:p>
        </w:tc>
        <w:tc>
          <w:tcPr>
            <w:tcW w:w="26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240" w:type="dxa"/>
            <w:vAlign w:val="bottom"/>
          </w:tcPr>
          <w:p>
            <w:pPr>
              <w:spacing w:after="0"/>
              <w:rPr>
                <w:sz w:val="11"/>
                <w:szCs w:val="11"/>
                <w:color w:val="auto"/>
              </w:rPr>
            </w:pPr>
          </w:p>
        </w:tc>
        <w:tc>
          <w:tcPr>
            <w:tcW w:w="14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Outstanding</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0"/>
              </w:rPr>
              <w:t>Average Exercise</w:t>
            </w:r>
          </w:p>
        </w:tc>
        <w:tc>
          <w:tcPr>
            <w:tcW w:w="152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7"/>
              </w:rPr>
              <w:t>Contractual</w:t>
            </w:r>
          </w:p>
        </w:tc>
        <w:tc>
          <w:tcPr>
            <w:tcW w:w="260" w:type="dxa"/>
            <w:vAlign w:val="bottom"/>
          </w:tcPr>
          <w:p>
            <w:pPr>
              <w:spacing w:after="0"/>
              <w:rPr>
                <w:sz w:val="11"/>
                <w:szCs w:val="11"/>
                <w:color w:val="auto"/>
              </w:rPr>
            </w:pPr>
          </w:p>
        </w:tc>
        <w:tc>
          <w:tcPr>
            <w:tcW w:w="1180" w:type="dxa"/>
            <w:vAlign w:val="bottom"/>
          </w:tcPr>
          <w:p>
            <w:pPr>
              <w:jc w:val="center"/>
              <w:ind w:right="176"/>
              <w:spacing w:after="0" w:line="135"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88"/>
        </w:trPr>
        <w:tc>
          <w:tcPr>
            <w:tcW w:w="524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4"/>
              </w:rPr>
              <w:t>Options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Price per Share</w:t>
            </w:r>
          </w:p>
        </w:tc>
        <w:tc>
          <w:tcPr>
            <w:tcW w:w="15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Term (in years)</w:t>
            </w:r>
          </w:p>
        </w:tc>
        <w:tc>
          <w:tcPr>
            <w:tcW w:w="260" w:type="dxa"/>
            <w:vAlign w:val="bottom"/>
          </w:tcPr>
          <w:p>
            <w:pPr>
              <w:spacing w:after="0"/>
              <w:rPr>
                <w:sz w:val="16"/>
                <w:szCs w:val="16"/>
                <w:color w:val="auto"/>
              </w:rPr>
            </w:pPr>
          </w:p>
        </w:tc>
        <w:tc>
          <w:tcPr>
            <w:tcW w:w="1180" w:type="dxa"/>
            <w:vAlign w:val="bottom"/>
          </w:tcPr>
          <w:p>
            <w:pPr>
              <w:jc w:val="center"/>
              <w:ind w:right="156"/>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4"/>
        </w:trPr>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Outstanding—December 31, 2020</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25,732,503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245,746</w:t>
            </w:r>
          </w:p>
        </w:tc>
        <w:tc>
          <w:tcPr>
            <w:tcW w:w="0" w:type="dxa"/>
            <w:vAlign w:val="bottom"/>
          </w:tcPr>
          <w:p>
            <w:pPr>
              <w:spacing w:after="0"/>
              <w:rPr>
                <w:sz w:val="1"/>
                <w:szCs w:val="1"/>
                <w:color w:val="auto"/>
              </w:rPr>
            </w:pPr>
          </w:p>
        </w:tc>
      </w:tr>
      <w:tr>
        <w:trPr>
          <w:trHeight w:val="230"/>
        </w:trPr>
        <w:tc>
          <w:tcPr>
            <w:tcW w:w="5240" w:type="dxa"/>
            <w:vAlign w:val="bottom"/>
          </w:tcPr>
          <w:p>
            <w:pPr>
              <w:ind w:left="460"/>
              <w:spacing w:after="0"/>
              <w:rPr>
                <w:sz w:val="20"/>
                <w:szCs w:val="20"/>
                <w:color w:val="auto"/>
              </w:rPr>
            </w:pPr>
            <w:r>
              <w:rPr>
                <w:rFonts w:ascii="Arial" w:cs="Arial" w:eastAsia="Arial" w:hAnsi="Arial"/>
                <w:sz w:val="18"/>
                <w:szCs w:val="18"/>
                <w:color w:val="auto"/>
              </w:rPr>
              <w:t>Options granted</w:t>
            </w:r>
          </w:p>
        </w:tc>
        <w:tc>
          <w:tcPr>
            <w:tcW w:w="1420" w:type="dxa"/>
            <w:vAlign w:val="bottom"/>
          </w:tcPr>
          <w:p>
            <w:pPr>
              <w:jc w:val="right"/>
              <w:spacing w:after="0"/>
              <w:rPr>
                <w:sz w:val="20"/>
                <w:szCs w:val="20"/>
                <w:color w:val="auto"/>
              </w:rPr>
            </w:pPr>
            <w:r>
              <w:rPr>
                <w:rFonts w:ascii="Arial" w:cs="Arial" w:eastAsia="Arial" w:hAnsi="Arial"/>
                <w:sz w:val="18"/>
                <w:szCs w:val="18"/>
                <w:color w:val="auto"/>
              </w:rPr>
              <w:t>645,796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10.26</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9.80</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1,440</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Options exercised</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(727,116)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6,083</w:t>
            </w:r>
          </w:p>
        </w:tc>
        <w:tc>
          <w:tcPr>
            <w:tcW w:w="0" w:type="dxa"/>
            <w:vAlign w:val="bottom"/>
          </w:tcPr>
          <w:p>
            <w:pPr>
              <w:spacing w:after="0"/>
              <w:rPr>
                <w:sz w:val="1"/>
                <w:szCs w:val="1"/>
                <w:color w:val="auto"/>
              </w:rPr>
            </w:pPr>
          </w:p>
        </w:tc>
      </w:tr>
      <w:tr>
        <w:trPr>
          <w:trHeight w:val="230"/>
        </w:trPr>
        <w:tc>
          <w:tcPr>
            <w:tcW w:w="524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Options cancelled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(432,918)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Outstanding—June 30, 2021</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25,218,265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298,358</w:t>
            </w:r>
          </w:p>
        </w:tc>
        <w:tc>
          <w:tcPr>
            <w:tcW w:w="0" w:type="dxa"/>
            <w:vAlign w:val="bottom"/>
          </w:tcPr>
          <w:p>
            <w:pPr>
              <w:spacing w:after="0"/>
              <w:rPr>
                <w:sz w:val="1"/>
                <w:szCs w:val="1"/>
                <w:color w:val="auto"/>
              </w:rPr>
            </w:pPr>
          </w:p>
        </w:tc>
      </w:tr>
      <w:tr>
        <w:trPr>
          <w:trHeight w:val="223"/>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Vested and expected to vest—June 30, 2021</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25,218,265</w:t>
            </w:r>
          </w:p>
        </w:tc>
        <w:tc>
          <w:tcPr>
            <w:tcW w:w="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0.66</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9.10</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298,358</w:t>
            </w:r>
          </w:p>
        </w:tc>
        <w:tc>
          <w:tcPr>
            <w:tcW w:w="0" w:type="dxa"/>
            <w:vAlign w:val="bottom"/>
          </w:tcPr>
          <w:p>
            <w:pPr>
              <w:spacing w:after="0"/>
              <w:rPr>
                <w:sz w:val="1"/>
                <w:szCs w:val="1"/>
                <w:color w:val="auto"/>
              </w:rPr>
            </w:pPr>
          </w:p>
        </w:tc>
      </w:tr>
      <w:tr>
        <w:trPr>
          <w:trHeight w:val="223"/>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Exercisable—June 30, 2021</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7,406,315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90,358</w:t>
            </w:r>
          </w:p>
        </w:tc>
        <w:tc>
          <w:tcPr>
            <w:tcW w:w="0" w:type="dxa"/>
            <w:vAlign w:val="bottom"/>
          </w:tcPr>
          <w:p>
            <w:pPr>
              <w:spacing w:after="0"/>
              <w:rPr>
                <w:sz w:val="1"/>
                <w:szCs w:val="1"/>
                <w:color w:val="auto"/>
              </w:rPr>
            </w:pPr>
          </w:p>
        </w:tc>
      </w:tr>
      <w:tr>
        <w:trPr>
          <w:trHeight w:val="905"/>
        </w:trPr>
        <w:tc>
          <w:tcPr>
            <w:tcW w:w="5240" w:type="dxa"/>
            <w:vAlign w:val="bottom"/>
          </w:tcPr>
          <w:p>
            <w:pPr>
              <w:spacing w:after="0"/>
              <w:rPr>
                <w:sz w:val="24"/>
                <w:szCs w:val="24"/>
                <w:color w:val="auto"/>
              </w:rPr>
            </w:pPr>
          </w:p>
        </w:tc>
        <w:tc>
          <w:tcPr>
            <w:tcW w:w="1420" w:type="dxa"/>
            <w:vAlign w:val="bottom"/>
          </w:tcPr>
          <w:p>
            <w:pPr>
              <w:jc w:val="right"/>
              <w:ind w:right="857"/>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4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following table summarizes the weighted-average assumptions used in estimating the fair value of options granted in the six months ended June 30, 2021, using the Black-Scholes option-pricing model:</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80" w:type="dxa"/>
            <w:vAlign w:val="bottom"/>
          </w:tcPr>
          <w:p>
            <w:pPr>
              <w:spacing w:after="0"/>
              <w:rPr>
                <w:sz w:val="16"/>
                <w:szCs w:val="16"/>
                <w:color w:val="auto"/>
              </w:rPr>
            </w:pPr>
          </w:p>
        </w:tc>
        <w:tc>
          <w:tcPr>
            <w:tcW w:w="1620" w:type="dxa"/>
            <w:vAlign w:val="bottom"/>
          </w:tcPr>
          <w:p>
            <w:pPr>
              <w:jc w:val="right"/>
              <w:ind w:right="176"/>
              <w:spacing w:after="0"/>
              <w:rPr>
                <w:sz w:val="20"/>
                <w:szCs w:val="20"/>
                <w:color w:val="auto"/>
              </w:rPr>
            </w:pPr>
            <w:r>
              <w:rPr>
                <w:rFonts w:ascii="Arial" w:cs="Arial" w:eastAsia="Arial" w:hAnsi="Arial"/>
                <w:sz w:val="14"/>
                <w:szCs w:val="14"/>
                <w:b w:val="1"/>
                <w:bCs w:val="1"/>
                <w:color w:val="auto"/>
              </w:rPr>
              <w:t>Six Months Ended</w:t>
            </w:r>
          </w:p>
        </w:tc>
      </w:tr>
      <w:tr>
        <w:trPr>
          <w:trHeight w:val="195"/>
        </w:trPr>
        <w:tc>
          <w:tcPr>
            <w:tcW w:w="6780" w:type="dxa"/>
            <w:vAlign w:val="bottom"/>
            <w:shd w:val="clear" w:color="auto" w:fill="CCEEFF"/>
          </w:tcPr>
          <w:p>
            <w:pPr>
              <w:spacing w:after="0"/>
              <w:rPr>
                <w:sz w:val="16"/>
                <w:szCs w:val="16"/>
                <w:color w:val="auto"/>
              </w:rPr>
            </w:pPr>
          </w:p>
        </w:tc>
        <w:tc>
          <w:tcPr>
            <w:tcW w:w="162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4"/>
                <w:szCs w:val="14"/>
                <w:b w:val="1"/>
                <w:bCs w:val="1"/>
                <w:color w:val="auto"/>
              </w:rPr>
              <w:t>June 30, 2020</w:t>
            </w:r>
          </w:p>
        </w:tc>
      </w:tr>
      <w:tr>
        <w:trPr>
          <w:trHeight w:val="223"/>
        </w:trPr>
        <w:tc>
          <w:tcPr>
            <w:tcW w:w="6780" w:type="dxa"/>
            <w:vAlign w:val="bottom"/>
          </w:tcPr>
          <w:p>
            <w:pPr>
              <w:ind w:left="20"/>
              <w:spacing w:after="0"/>
              <w:rPr>
                <w:sz w:val="20"/>
                <w:szCs w:val="20"/>
                <w:color w:val="auto"/>
              </w:rPr>
            </w:pPr>
            <w:r>
              <w:rPr>
                <w:rFonts w:ascii="Arial" w:cs="Arial" w:eastAsia="Arial" w:hAnsi="Arial"/>
                <w:sz w:val="18"/>
                <w:szCs w:val="18"/>
                <w:color w:val="auto"/>
              </w:rPr>
              <w:t>Expected term (years)</w:t>
            </w:r>
          </w:p>
        </w:tc>
        <w:tc>
          <w:tcPr>
            <w:tcW w:w="1620" w:type="dxa"/>
            <w:vAlign w:val="bottom"/>
          </w:tcPr>
          <w:p>
            <w:pPr>
              <w:jc w:val="right"/>
              <w:ind w:right="156"/>
              <w:spacing w:after="0"/>
              <w:rPr>
                <w:sz w:val="20"/>
                <w:szCs w:val="20"/>
                <w:color w:val="auto"/>
              </w:rPr>
            </w:pPr>
            <w:r>
              <w:rPr>
                <w:rFonts w:ascii="Arial" w:cs="Arial" w:eastAsia="Arial" w:hAnsi="Arial"/>
                <w:sz w:val="18"/>
                <w:szCs w:val="18"/>
                <w:color w:val="auto"/>
              </w:rPr>
              <w:t>6.00</w:t>
            </w:r>
          </w:p>
        </w:tc>
      </w:tr>
      <w:tr>
        <w:trPr>
          <w:trHeight w:val="230"/>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63.19 %</w:t>
            </w:r>
          </w:p>
        </w:tc>
      </w:tr>
      <w:tr>
        <w:trPr>
          <w:trHeight w:val="229"/>
        </w:trPr>
        <w:tc>
          <w:tcPr>
            <w:tcW w:w="678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620" w:type="dxa"/>
            <w:vAlign w:val="bottom"/>
          </w:tcPr>
          <w:p>
            <w:pPr>
              <w:jc w:val="right"/>
              <w:spacing w:after="0"/>
              <w:rPr>
                <w:sz w:val="20"/>
                <w:szCs w:val="20"/>
                <w:color w:val="auto"/>
              </w:rPr>
            </w:pPr>
            <w:r>
              <w:rPr>
                <w:rFonts w:ascii="Arial" w:cs="Arial" w:eastAsia="Arial" w:hAnsi="Arial"/>
                <w:sz w:val="18"/>
                <w:szCs w:val="18"/>
                <w:color w:val="auto"/>
              </w:rPr>
              <w:t>1.03 %</w:t>
            </w:r>
          </w:p>
        </w:tc>
      </w:tr>
      <w:tr>
        <w:trPr>
          <w:trHeight w:val="230"/>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dividend rate</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stock options outstanding and exercisable at June 30, 2021.</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0" w:type="dxa"/>
            <w:vAlign w:val="bottom"/>
            <w:tcBorders>
              <w:bottom w:val="single" w:sz="8" w:color="auto"/>
            </w:tcBorders>
            <w:gridSpan w:val="3"/>
          </w:tcPr>
          <w:p>
            <w:pPr>
              <w:ind w:left="1960"/>
              <w:spacing w:after="0"/>
              <w:rPr>
                <w:sz w:val="20"/>
                <w:szCs w:val="20"/>
                <w:color w:val="auto"/>
              </w:rPr>
            </w:pPr>
            <w:r>
              <w:rPr>
                <w:rFonts w:ascii="Arial" w:cs="Arial" w:eastAsia="Arial" w:hAnsi="Arial"/>
                <w:sz w:val="14"/>
                <w:szCs w:val="14"/>
                <w:b w:val="1"/>
                <w:bCs w:val="1"/>
                <w:color w:val="auto"/>
              </w:rPr>
              <w:t>Options Outstanding</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2"/>
              </w:rPr>
              <w:t>Options Exercisable</w:t>
            </w: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jc w:val="center"/>
              <w:ind w:left="248"/>
              <w:spacing w:after="0" w:line="135" w:lineRule="exact"/>
              <w:rPr>
                <w:sz w:val="20"/>
                <w:szCs w:val="20"/>
                <w:color w:val="auto"/>
              </w:rPr>
            </w:pPr>
            <w:r>
              <w:rPr>
                <w:rFonts w:ascii="Arial" w:cs="Arial" w:eastAsia="Arial" w:hAnsi="Arial"/>
                <w:sz w:val="14"/>
                <w:szCs w:val="14"/>
                <w:b w:val="1"/>
                <w:bCs w:val="1"/>
                <w:color w:val="auto"/>
                <w:w w:val="91"/>
              </w:rPr>
              <w:t>Weighted</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1"/>
              </w:rPr>
              <w:t>Weighted</w:t>
            </w: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5"/>
              </w:rPr>
              <w:t>Weighted</w:t>
            </w:r>
          </w:p>
        </w:tc>
        <w:tc>
          <w:tcPr>
            <w:tcW w:w="260" w:type="dxa"/>
            <w:vAlign w:val="bottom"/>
          </w:tcPr>
          <w:p>
            <w:pPr>
              <w:spacing w:after="0"/>
              <w:rPr>
                <w:sz w:val="11"/>
                <w:szCs w:val="11"/>
                <w:color w:val="auto"/>
              </w:rPr>
            </w:pPr>
          </w:p>
        </w:tc>
        <w:tc>
          <w:tcPr>
            <w:tcW w:w="1160" w:type="dxa"/>
            <w:vAlign w:val="bottom"/>
            <w:vMerge w:val="restart"/>
          </w:tcPr>
          <w:p>
            <w:pPr>
              <w:jc w:val="center"/>
              <w:ind w:right="177"/>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35"/>
        </w:trPr>
        <w:tc>
          <w:tcPr>
            <w:tcW w:w="2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jc w:val="center"/>
              <w:ind w:left="248"/>
              <w:spacing w:after="0" w:line="135" w:lineRule="exact"/>
              <w:rPr>
                <w:sz w:val="20"/>
                <w:szCs w:val="20"/>
                <w:color w:val="auto"/>
              </w:rPr>
            </w:pPr>
            <w:r>
              <w:rPr>
                <w:rFonts w:ascii="Arial" w:cs="Arial" w:eastAsia="Arial" w:hAnsi="Arial"/>
                <w:sz w:val="14"/>
                <w:szCs w:val="14"/>
                <w:b w:val="1"/>
                <w:bCs w:val="1"/>
                <w:color w:val="auto"/>
                <w:w w:val="90"/>
              </w:rPr>
              <w:t>Average</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0" w:type="dxa"/>
            <w:vAlign w:val="bottom"/>
          </w:tcPr>
          <w:p>
            <w:pPr>
              <w:spacing w:after="0"/>
              <w:rPr>
                <w:sz w:val="11"/>
                <w:szCs w:val="11"/>
                <w:color w:val="auto"/>
              </w:rPr>
            </w:pPr>
          </w:p>
        </w:tc>
        <w:tc>
          <w:tcPr>
            <w:tcW w:w="12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0"/>
              </w:rPr>
              <w:t>Exercise</w:t>
            </w:r>
          </w:p>
        </w:tc>
        <w:tc>
          <w:tcPr>
            <w:tcW w:w="2220" w:type="dxa"/>
            <w:vAlign w:val="bottom"/>
            <w:vMerge w:val="restart"/>
          </w:tcPr>
          <w:p>
            <w:pPr>
              <w:jc w:val="right"/>
              <w:ind w:right="775"/>
              <w:spacing w:after="0"/>
              <w:rPr>
                <w:sz w:val="20"/>
                <w:szCs w:val="20"/>
                <w:color w:val="auto"/>
              </w:rPr>
            </w:pPr>
            <w:r>
              <w:rPr>
                <w:rFonts w:ascii="Arial" w:cs="Arial" w:eastAsia="Arial" w:hAnsi="Arial"/>
                <w:sz w:val="14"/>
                <w:szCs w:val="14"/>
                <w:b w:val="1"/>
                <w:bCs w:val="1"/>
                <w:color w:val="auto"/>
              </w:rPr>
              <w:t>Options</w:t>
            </w:r>
          </w:p>
        </w:tc>
        <w:tc>
          <w:tcPr>
            <w:tcW w:w="80" w:type="dxa"/>
            <w:vAlign w:val="bottom"/>
          </w:tcPr>
          <w:p>
            <w:pPr>
              <w:spacing w:after="0"/>
              <w:rPr>
                <w:sz w:val="11"/>
                <w:szCs w:val="11"/>
                <w:color w:val="auto"/>
              </w:rPr>
            </w:pPr>
          </w:p>
        </w:tc>
        <w:tc>
          <w:tcPr>
            <w:tcW w:w="1100" w:type="dxa"/>
            <w:vAlign w:val="bottom"/>
          </w:tcPr>
          <w:p>
            <w:pPr>
              <w:jc w:val="center"/>
              <w:ind w:left="268"/>
              <w:spacing w:after="0" w:line="135" w:lineRule="exact"/>
              <w:rPr>
                <w:sz w:val="20"/>
                <w:szCs w:val="20"/>
                <w:color w:val="auto"/>
              </w:rPr>
            </w:pPr>
            <w:r>
              <w:rPr>
                <w:rFonts w:ascii="Arial" w:cs="Arial" w:eastAsia="Arial" w:hAnsi="Arial"/>
                <w:sz w:val="14"/>
                <w:szCs w:val="14"/>
                <w:b w:val="1"/>
                <w:bCs w:val="1"/>
                <w:color w:val="auto"/>
                <w:w w:val="94"/>
              </w:rPr>
              <w:t>Remaining</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0"/>
              </w:rPr>
              <w:t>Average</w:t>
            </w:r>
          </w:p>
        </w:tc>
        <w:tc>
          <w:tcPr>
            <w:tcW w:w="142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1"/>
                <w:szCs w:val="11"/>
                <w:color w:val="auto"/>
              </w:rPr>
            </w:pPr>
          </w:p>
        </w:tc>
        <w:tc>
          <w:tcPr>
            <w:tcW w:w="15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4"/>
              </w:rPr>
              <w:t>Remaining</w:t>
            </w:r>
          </w:p>
        </w:tc>
        <w:tc>
          <w:tcPr>
            <w:tcW w:w="260" w:type="dxa"/>
            <w:vAlign w:val="bottom"/>
          </w:tcPr>
          <w:p>
            <w:pPr>
              <w:spacing w:after="0"/>
              <w:rPr>
                <w:sz w:val="11"/>
                <w:szCs w:val="11"/>
                <w:color w:val="auto"/>
              </w:rPr>
            </w:pPr>
          </w:p>
        </w:tc>
        <w:tc>
          <w:tcPr>
            <w:tcW w:w="1160" w:type="dxa"/>
            <w:vAlign w:val="bottom"/>
          </w:tcPr>
          <w:p>
            <w:pPr>
              <w:jc w:val="center"/>
              <w:ind w:right="177"/>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5"/>
        </w:trPr>
        <w:tc>
          <w:tcPr>
            <w:tcW w:w="28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22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jc w:val="center"/>
              <w:ind w:left="248"/>
              <w:spacing w:after="0" w:line="135" w:lineRule="exact"/>
              <w:rPr>
                <w:sz w:val="20"/>
                <w:szCs w:val="20"/>
                <w:color w:val="auto"/>
              </w:rPr>
            </w:pPr>
            <w:r>
              <w:rPr>
                <w:rFonts w:ascii="Arial" w:cs="Arial" w:eastAsia="Arial" w:hAnsi="Arial"/>
                <w:sz w:val="14"/>
                <w:szCs w:val="14"/>
                <w:b w:val="1"/>
                <w:bCs w:val="1"/>
                <w:color w:val="auto"/>
                <w:w w:val="95"/>
              </w:rPr>
              <w:t>Contractual</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0"/>
              </w:rPr>
              <w:t>Exercise</w:t>
            </w:r>
          </w:p>
        </w:tc>
        <w:tc>
          <w:tcPr>
            <w:tcW w:w="14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7"/>
              </w:rPr>
              <w:t>Contractual</w:t>
            </w:r>
          </w:p>
        </w:tc>
        <w:tc>
          <w:tcPr>
            <w:tcW w:w="260" w:type="dxa"/>
            <w:vAlign w:val="bottom"/>
          </w:tcPr>
          <w:p>
            <w:pPr>
              <w:spacing w:after="0"/>
              <w:rPr>
                <w:sz w:val="11"/>
                <w:szCs w:val="11"/>
                <w:color w:val="auto"/>
              </w:rPr>
            </w:pPr>
          </w:p>
        </w:tc>
        <w:tc>
          <w:tcPr>
            <w:tcW w:w="1160" w:type="dxa"/>
            <w:vAlign w:val="bottom"/>
          </w:tcPr>
          <w:p>
            <w:pPr>
              <w:jc w:val="center"/>
              <w:ind w:right="177"/>
              <w:spacing w:after="0" w:line="135" w:lineRule="exact"/>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Price</w:t>
            </w:r>
          </w:p>
        </w:tc>
        <w:tc>
          <w:tcPr>
            <w:tcW w:w="2220" w:type="dxa"/>
            <w:vAlign w:val="bottom"/>
          </w:tcPr>
          <w:p>
            <w:pPr>
              <w:jc w:val="right"/>
              <w:ind w:right="635"/>
              <w:spacing w:after="0"/>
              <w:rPr>
                <w:sz w:val="20"/>
                <w:szCs w:val="20"/>
                <w:color w:val="auto"/>
              </w:rPr>
            </w:pPr>
            <w:r>
              <w:rPr>
                <w:rFonts w:ascii="Arial" w:cs="Arial" w:eastAsia="Arial" w:hAnsi="Arial"/>
                <w:sz w:val="14"/>
                <w:szCs w:val="14"/>
                <w:b w:val="1"/>
                <w:bCs w:val="1"/>
                <w:color w:val="auto"/>
              </w:rPr>
              <w:t>Outstanding</w:t>
            </w:r>
          </w:p>
        </w:tc>
        <w:tc>
          <w:tcPr>
            <w:tcW w:w="80" w:type="dxa"/>
            <w:vAlign w:val="bottom"/>
          </w:tcPr>
          <w:p>
            <w:pPr>
              <w:spacing w:after="0"/>
              <w:rPr>
                <w:sz w:val="16"/>
                <w:szCs w:val="16"/>
                <w:color w:val="auto"/>
              </w:rPr>
            </w:pPr>
          </w:p>
        </w:tc>
        <w:tc>
          <w:tcPr>
            <w:tcW w:w="1100" w:type="dxa"/>
            <w:vAlign w:val="bottom"/>
          </w:tcPr>
          <w:p>
            <w:pPr>
              <w:jc w:val="center"/>
              <w:ind w:left="268"/>
              <w:spacing w:after="0"/>
              <w:rPr>
                <w:sz w:val="20"/>
                <w:szCs w:val="20"/>
                <w:color w:val="auto"/>
              </w:rPr>
            </w:pPr>
            <w:r>
              <w:rPr>
                <w:rFonts w:ascii="Arial" w:cs="Arial" w:eastAsia="Arial" w:hAnsi="Arial"/>
                <w:sz w:val="14"/>
                <w:szCs w:val="14"/>
                <w:b w:val="1"/>
                <w:bCs w:val="1"/>
                <w:color w:val="auto"/>
                <w:w w:val="94"/>
              </w:rPr>
              <w:t>Life (Years)</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Price</w:t>
            </w:r>
          </w:p>
        </w:tc>
        <w:tc>
          <w:tcPr>
            <w:tcW w:w="1420" w:type="dxa"/>
            <w:vAlign w:val="bottom"/>
          </w:tcPr>
          <w:p>
            <w:pPr>
              <w:jc w:val="right"/>
              <w:ind w:right="274"/>
              <w:spacing w:after="0"/>
              <w:rPr>
                <w:sz w:val="20"/>
                <w:szCs w:val="20"/>
                <w:color w:val="auto"/>
              </w:rPr>
            </w:pPr>
            <w:r>
              <w:rPr>
                <w:rFonts w:ascii="Arial" w:cs="Arial" w:eastAsia="Arial" w:hAnsi="Arial"/>
                <w:sz w:val="14"/>
                <w:szCs w:val="14"/>
                <w:b w:val="1"/>
                <w:bCs w:val="1"/>
                <w:color w:val="auto"/>
              </w:rPr>
              <w:t>Exercisable</w:t>
            </w:r>
          </w:p>
        </w:tc>
        <w:tc>
          <w:tcPr>
            <w:tcW w:w="100" w:type="dxa"/>
            <w:vAlign w:val="bottom"/>
          </w:tcPr>
          <w:p>
            <w:pPr>
              <w:spacing w:after="0"/>
              <w:rPr>
                <w:sz w:val="16"/>
                <w:szCs w:val="16"/>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Life (Years)</w:t>
            </w:r>
          </w:p>
        </w:tc>
        <w:tc>
          <w:tcPr>
            <w:tcW w:w="260" w:type="dxa"/>
            <w:vAlign w:val="bottom"/>
          </w:tcPr>
          <w:p>
            <w:pPr>
              <w:spacing w:after="0"/>
              <w:rPr>
                <w:sz w:val="16"/>
                <w:szCs w:val="16"/>
                <w:color w:val="auto"/>
              </w:rPr>
            </w:pPr>
          </w:p>
        </w:tc>
        <w:tc>
          <w:tcPr>
            <w:tcW w:w="1160" w:type="dxa"/>
            <w:vAlign w:val="bottom"/>
          </w:tcPr>
          <w:p>
            <w:pPr>
              <w:jc w:val="center"/>
              <w:ind w:right="157"/>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24"/>
        </w:trPr>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Borders>
              <w:top w:val="single" w:sz="8" w:color="CCEEFF"/>
            </w:tcBorders>
            <w:shd w:val="clear" w:color="auto" w:fill="CCEEFF"/>
          </w:tcPr>
          <w:p>
            <w:pPr>
              <w:spacing w:after="0"/>
              <w:rPr>
                <w:sz w:val="19"/>
                <w:szCs w:val="19"/>
                <w:color w:val="auto"/>
              </w:rPr>
            </w:pPr>
          </w:p>
        </w:tc>
        <w:tc>
          <w:tcPr>
            <w:tcW w:w="2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6,548,017</w:t>
            </w:r>
          </w:p>
        </w:tc>
        <w:tc>
          <w:tcPr>
            <w:tcW w:w="8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8.90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3,569,978</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29"/>
        </w:trPr>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10,455,884</w:t>
            </w: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79"/>
              </w:rPr>
              <w:t>9.21</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2,537,865</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9.08</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29"/>
        </w:trPr>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0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35,159</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0.45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35,159</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30"/>
        </w:trPr>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7,524,116</w:t>
            </w: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79"/>
              </w:rPr>
              <w:t>9.25</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1,254,019</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9.25</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9"/>
        </w:trPr>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0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7,976</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0.45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7,976</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29"/>
        </w:trPr>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5.80</w:t>
            </w:r>
          </w:p>
        </w:tc>
        <w:tc>
          <w:tcPr>
            <w:tcW w:w="10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1,318</w:t>
            </w: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79"/>
              </w:rPr>
              <w:t>0.45</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5.80</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1,318</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0.45</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30"/>
        </w:trPr>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100" w:type="dxa"/>
            <w:vAlign w:val="bottom"/>
            <w:shd w:val="clear" w:color="auto" w:fill="CCEEFF"/>
          </w:tcPr>
          <w:p>
            <w:pPr>
              <w:spacing w:after="0"/>
              <w:rPr>
                <w:sz w:val="19"/>
                <w:szCs w:val="19"/>
                <w:color w:val="auto"/>
              </w:rPr>
            </w:pPr>
          </w:p>
        </w:tc>
        <w:tc>
          <w:tcPr>
            <w:tcW w:w="2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645,796</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9.78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10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25,218,266</w:t>
            </w: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7,406,315</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grant date fair value of options granted during the six months ended June 30, 2021 was $5.9.</w:t>
      </w:r>
    </w:p>
    <w:p>
      <w:pPr>
        <w:spacing w:after="0" w:line="17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As of June 30, 2021, there was approximately $30.0 million of unamortized stock-based compensation expense related to unvested stock options that is expected to be recognized over a weighted average period of 1.8 years.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Awards (“RSA”)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 summary of RSA activity under the 2015 Plan is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jc w:val="center"/>
              <w:ind w:right="77"/>
              <w:spacing w:after="0"/>
              <w:rPr>
                <w:sz w:val="20"/>
                <w:szCs w:val="20"/>
                <w:color w:val="auto"/>
              </w:rPr>
            </w:pPr>
            <w:r>
              <w:rPr>
                <w:rFonts w:ascii="Arial" w:cs="Arial" w:eastAsia="Arial" w:hAnsi="Arial"/>
                <w:sz w:val="14"/>
                <w:szCs w:val="14"/>
                <w:b w:val="1"/>
                <w:bCs w:val="1"/>
                <w:color w:val="auto"/>
                <w:w w:val="91"/>
              </w:rPr>
              <w:t>Weighted Average</w:t>
            </w:r>
          </w:p>
        </w:tc>
      </w:tr>
      <w:tr>
        <w:trPr>
          <w:trHeight w:val="185"/>
        </w:trPr>
        <w:tc>
          <w:tcPr>
            <w:tcW w:w="8100" w:type="dxa"/>
            <w:vAlign w:val="bottom"/>
          </w:tcPr>
          <w:p>
            <w:pPr>
              <w:spacing w:after="0"/>
              <w:rPr>
                <w:sz w:val="16"/>
                <w:szCs w:val="16"/>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Number of</w:t>
            </w:r>
          </w:p>
        </w:tc>
        <w:tc>
          <w:tcPr>
            <w:tcW w:w="160" w:type="dxa"/>
            <w:vAlign w:val="bottom"/>
          </w:tcPr>
          <w:p>
            <w:pPr>
              <w:spacing w:after="0"/>
              <w:rPr>
                <w:sz w:val="16"/>
                <w:szCs w:val="16"/>
                <w:color w:val="auto"/>
              </w:rPr>
            </w:pPr>
          </w:p>
        </w:tc>
        <w:tc>
          <w:tcPr>
            <w:tcW w:w="1360" w:type="dxa"/>
            <w:vAlign w:val="bottom"/>
          </w:tcPr>
          <w:p>
            <w:pPr>
              <w:jc w:val="center"/>
              <w:ind w:right="77"/>
              <w:spacing w:after="0"/>
              <w:rPr>
                <w:sz w:val="20"/>
                <w:szCs w:val="20"/>
                <w:color w:val="auto"/>
              </w:rPr>
            </w:pPr>
            <w:r>
              <w:rPr>
                <w:rFonts w:ascii="Arial" w:cs="Arial" w:eastAsia="Arial" w:hAnsi="Arial"/>
                <w:sz w:val="14"/>
                <w:szCs w:val="14"/>
                <w:b w:val="1"/>
                <w:bCs w:val="1"/>
                <w:color w:val="auto"/>
                <w:w w:val="98"/>
              </w:rPr>
              <w:t>Grant Date Fair</w:t>
            </w:r>
          </w:p>
        </w:tc>
      </w:tr>
      <w:tr>
        <w:trPr>
          <w:trHeight w:val="188"/>
        </w:trPr>
        <w:tc>
          <w:tcPr>
            <w:tcW w:w="8100" w:type="dxa"/>
            <w:vAlign w:val="bottom"/>
          </w:tcPr>
          <w:p>
            <w:pPr>
              <w:spacing w:after="0"/>
              <w:rPr>
                <w:sz w:val="16"/>
                <w:szCs w:val="16"/>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Shares</w:t>
            </w:r>
          </w:p>
        </w:tc>
        <w:tc>
          <w:tcPr>
            <w:tcW w:w="160" w:type="dxa"/>
            <w:vAlign w:val="bottom"/>
          </w:tcPr>
          <w:p>
            <w:pPr>
              <w:spacing w:after="0"/>
              <w:rPr>
                <w:sz w:val="16"/>
                <w:szCs w:val="16"/>
                <w:color w:val="auto"/>
              </w:rPr>
            </w:pPr>
          </w:p>
        </w:tc>
        <w:tc>
          <w:tcPr>
            <w:tcW w:w="1360" w:type="dxa"/>
            <w:vAlign w:val="bottom"/>
          </w:tcPr>
          <w:p>
            <w:pPr>
              <w:jc w:val="center"/>
              <w:ind w:right="97"/>
              <w:spacing w:after="0"/>
              <w:rPr>
                <w:sz w:val="20"/>
                <w:szCs w:val="20"/>
                <w:color w:val="auto"/>
              </w:rPr>
            </w:pPr>
            <w:r>
              <w:rPr>
                <w:rFonts w:ascii="Arial" w:cs="Arial" w:eastAsia="Arial" w:hAnsi="Arial"/>
                <w:sz w:val="14"/>
                <w:szCs w:val="14"/>
                <w:b w:val="1"/>
                <w:bCs w:val="1"/>
                <w:color w:val="auto"/>
                <w:w w:val="93"/>
              </w:rPr>
              <w:t>Value (per share)</w:t>
            </w:r>
          </w:p>
        </w:tc>
      </w:tr>
      <w:tr>
        <w:trPr>
          <w:trHeight w:val="224"/>
        </w:trPr>
        <w:tc>
          <w:tcPr>
            <w:tcW w:w="8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 December 31, 2020</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40,754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0.67</w:t>
            </w:r>
          </w:p>
        </w:tc>
      </w:tr>
      <w:tr>
        <w:trPr>
          <w:trHeight w:val="230"/>
        </w:trPr>
        <w:tc>
          <w:tcPr>
            <w:tcW w:w="8100" w:type="dxa"/>
            <w:vAlign w:val="bottom"/>
          </w:tcPr>
          <w:p>
            <w:pPr>
              <w:ind w:left="360"/>
              <w:spacing w:after="0"/>
              <w:rPr>
                <w:sz w:val="20"/>
                <w:szCs w:val="20"/>
                <w:color w:val="auto"/>
              </w:rPr>
            </w:pPr>
            <w:r>
              <w:rPr>
                <w:rFonts w:ascii="Arial" w:cs="Arial" w:eastAsia="Arial" w:hAnsi="Arial"/>
                <w:sz w:val="18"/>
                <w:szCs w:val="18"/>
                <w:color w:val="auto"/>
              </w:rPr>
              <w:t>Granted during the period</w:t>
            </w: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Canceled during the period</w:t>
            </w: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1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Vested during the period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(11,644)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0.67</w:t>
            </w:r>
          </w:p>
        </w:tc>
      </w:tr>
      <w:tr>
        <w:trPr>
          <w:trHeight w:val="248"/>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 June 30, 2021</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0.67</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weighted-average estimated fair value of RSAs granted in the six months ended June 30, 2021 was Nil per share. The total fair value of RSAs vested during the six months ended June 30, 2021 was less than $0.1 million.</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 (“RSU”)</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 summary of RSU activity is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jc w:val="center"/>
              <w:ind w:right="77"/>
              <w:spacing w:after="0"/>
              <w:rPr>
                <w:sz w:val="20"/>
                <w:szCs w:val="20"/>
                <w:color w:val="auto"/>
              </w:rPr>
            </w:pPr>
            <w:r>
              <w:rPr>
                <w:rFonts w:ascii="Arial" w:cs="Arial" w:eastAsia="Arial" w:hAnsi="Arial"/>
                <w:sz w:val="14"/>
                <w:szCs w:val="14"/>
                <w:b w:val="1"/>
                <w:bCs w:val="1"/>
                <w:color w:val="auto"/>
                <w:w w:val="91"/>
              </w:rPr>
              <w:t>Weighted Average</w:t>
            </w:r>
          </w:p>
        </w:tc>
      </w:tr>
      <w:tr>
        <w:trPr>
          <w:trHeight w:val="185"/>
        </w:trPr>
        <w:tc>
          <w:tcPr>
            <w:tcW w:w="8100" w:type="dxa"/>
            <w:vAlign w:val="bottom"/>
          </w:tcPr>
          <w:p>
            <w:pPr>
              <w:spacing w:after="0"/>
              <w:rPr>
                <w:sz w:val="16"/>
                <w:szCs w:val="16"/>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Number of</w:t>
            </w:r>
          </w:p>
        </w:tc>
        <w:tc>
          <w:tcPr>
            <w:tcW w:w="160" w:type="dxa"/>
            <w:vAlign w:val="bottom"/>
          </w:tcPr>
          <w:p>
            <w:pPr>
              <w:spacing w:after="0"/>
              <w:rPr>
                <w:sz w:val="16"/>
                <w:szCs w:val="16"/>
                <w:color w:val="auto"/>
              </w:rPr>
            </w:pPr>
          </w:p>
        </w:tc>
        <w:tc>
          <w:tcPr>
            <w:tcW w:w="1360" w:type="dxa"/>
            <w:vAlign w:val="bottom"/>
          </w:tcPr>
          <w:p>
            <w:pPr>
              <w:jc w:val="center"/>
              <w:ind w:right="77"/>
              <w:spacing w:after="0"/>
              <w:rPr>
                <w:sz w:val="20"/>
                <w:szCs w:val="20"/>
                <w:color w:val="auto"/>
              </w:rPr>
            </w:pPr>
            <w:r>
              <w:rPr>
                <w:rFonts w:ascii="Arial" w:cs="Arial" w:eastAsia="Arial" w:hAnsi="Arial"/>
                <w:sz w:val="14"/>
                <w:szCs w:val="14"/>
                <w:b w:val="1"/>
                <w:bCs w:val="1"/>
                <w:color w:val="auto"/>
                <w:w w:val="98"/>
              </w:rPr>
              <w:t>Grant Date Fair</w:t>
            </w:r>
          </w:p>
        </w:tc>
      </w:tr>
      <w:tr>
        <w:trPr>
          <w:trHeight w:val="188"/>
        </w:trPr>
        <w:tc>
          <w:tcPr>
            <w:tcW w:w="8100" w:type="dxa"/>
            <w:vAlign w:val="bottom"/>
          </w:tcPr>
          <w:p>
            <w:pPr>
              <w:spacing w:after="0"/>
              <w:rPr>
                <w:sz w:val="16"/>
                <w:szCs w:val="16"/>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Shares</w:t>
            </w:r>
          </w:p>
        </w:tc>
        <w:tc>
          <w:tcPr>
            <w:tcW w:w="160" w:type="dxa"/>
            <w:vAlign w:val="bottom"/>
          </w:tcPr>
          <w:p>
            <w:pPr>
              <w:spacing w:after="0"/>
              <w:rPr>
                <w:sz w:val="16"/>
                <w:szCs w:val="16"/>
                <w:color w:val="auto"/>
              </w:rPr>
            </w:pPr>
          </w:p>
        </w:tc>
        <w:tc>
          <w:tcPr>
            <w:tcW w:w="1360" w:type="dxa"/>
            <w:vAlign w:val="bottom"/>
          </w:tcPr>
          <w:p>
            <w:pPr>
              <w:jc w:val="center"/>
              <w:ind w:right="97"/>
              <w:spacing w:after="0"/>
              <w:rPr>
                <w:sz w:val="20"/>
                <w:szCs w:val="20"/>
                <w:color w:val="auto"/>
              </w:rPr>
            </w:pPr>
            <w:r>
              <w:rPr>
                <w:rFonts w:ascii="Arial" w:cs="Arial" w:eastAsia="Arial" w:hAnsi="Arial"/>
                <w:sz w:val="14"/>
                <w:szCs w:val="14"/>
                <w:b w:val="1"/>
                <w:bCs w:val="1"/>
                <w:color w:val="auto"/>
                <w:w w:val="93"/>
              </w:rPr>
              <w:t>Value (per share)</w:t>
            </w:r>
          </w:p>
        </w:tc>
      </w:tr>
      <w:tr>
        <w:trPr>
          <w:trHeight w:val="224"/>
        </w:trPr>
        <w:tc>
          <w:tcPr>
            <w:tcW w:w="8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 December 31, 2020</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100" w:type="dxa"/>
            <w:vAlign w:val="bottom"/>
          </w:tcPr>
          <w:p>
            <w:pPr>
              <w:ind w:left="360"/>
              <w:spacing w:after="0"/>
              <w:rPr>
                <w:sz w:val="20"/>
                <w:szCs w:val="20"/>
                <w:color w:val="auto"/>
              </w:rPr>
            </w:pPr>
            <w:r>
              <w:rPr>
                <w:rFonts w:ascii="Arial" w:cs="Arial" w:eastAsia="Arial" w:hAnsi="Arial"/>
                <w:sz w:val="18"/>
                <w:szCs w:val="18"/>
                <w:color w:val="auto"/>
              </w:rPr>
              <w:t>Granted during the period</w:t>
            </w:r>
          </w:p>
        </w:tc>
        <w:tc>
          <w:tcPr>
            <w:tcW w:w="1520" w:type="dxa"/>
            <w:vAlign w:val="bottom"/>
          </w:tcPr>
          <w:p>
            <w:pPr>
              <w:jc w:val="right"/>
              <w:spacing w:after="0"/>
              <w:rPr>
                <w:sz w:val="20"/>
                <w:szCs w:val="20"/>
                <w:color w:val="auto"/>
              </w:rPr>
            </w:pPr>
            <w:r>
              <w:rPr>
                <w:rFonts w:ascii="Arial" w:cs="Arial" w:eastAsia="Arial" w:hAnsi="Arial"/>
                <w:sz w:val="18"/>
                <w:szCs w:val="18"/>
                <w:color w:val="auto"/>
              </w:rPr>
              <w:t>2,616,948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10.01</w:t>
            </w:r>
          </w:p>
        </w:tc>
      </w:tr>
      <w:tr>
        <w:trPr>
          <w:trHeight w:val="230"/>
        </w:trPr>
        <w:tc>
          <w:tcPr>
            <w:tcW w:w="8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Canceled during the period</w:t>
            </w: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1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Vested during the period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(28,319)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11.52</w:t>
            </w:r>
          </w:p>
        </w:tc>
      </w:tr>
      <w:tr>
        <w:trPr>
          <w:trHeight w:val="248"/>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 June 30, 2021</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2,588,629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Stock compensation expense is recognized on a straight-line basis over the vesting period of each RSU. As of June 30, 2020, total compensation expense related to unvested RSUs granted to employees, but not yet recognized, was $22.1 million, with a weighted-average remaining vesting period of 3.2 years.</w:t>
      </w:r>
    </w:p>
    <w:p>
      <w:pPr>
        <w:spacing w:after="0" w:line="15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Company recognized stock-based compensation for all stock options in the condensed consolidated statements of operations and comprehensive loss as follows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40" w:type="dxa"/>
            <w:vAlign w:val="bottom"/>
          </w:tcPr>
          <w:p>
            <w:pPr>
              <w:spacing w:after="0"/>
              <w:rPr>
                <w:sz w:val="16"/>
                <w:szCs w:val="16"/>
                <w:color w:val="auto"/>
              </w:rPr>
            </w:pPr>
          </w:p>
        </w:tc>
        <w:tc>
          <w:tcPr>
            <w:tcW w:w="2500" w:type="dxa"/>
            <w:vAlign w:val="bottom"/>
            <w:tcBorders>
              <w:bottom w:val="single" w:sz="8" w:color="auto"/>
            </w:tcBorders>
            <w:gridSpan w:val="4"/>
          </w:tcPr>
          <w:p>
            <w:pPr>
              <w:jc w:val="right"/>
              <w:ind w:right="16"/>
              <w:spacing w:after="0"/>
              <w:rPr>
                <w:sz w:val="20"/>
                <w:szCs w:val="20"/>
                <w:color w:val="auto"/>
              </w:rPr>
            </w:pPr>
            <w:r>
              <w:rPr>
                <w:rFonts w:ascii="Arial" w:cs="Arial" w:eastAsia="Arial" w:hAnsi="Arial"/>
                <w:sz w:val="14"/>
                <w:szCs w:val="14"/>
                <w:b w:val="1"/>
                <w:bCs w:val="1"/>
                <w:color w:val="auto"/>
              </w:rPr>
              <w:t>Three Months Ended June 30,</w:t>
            </w:r>
          </w:p>
        </w:tc>
        <w:tc>
          <w:tcPr>
            <w:tcW w:w="4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553"/>
              <w:spacing w:after="0"/>
              <w:rPr>
                <w:sz w:val="20"/>
                <w:szCs w:val="20"/>
                <w:color w:val="auto"/>
              </w:rPr>
            </w:pPr>
            <w:r>
              <w:rPr>
                <w:rFonts w:ascii="Arial" w:cs="Arial" w:eastAsia="Arial" w:hAnsi="Arial"/>
                <w:sz w:val="14"/>
                <w:szCs w:val="14"/>
                <w:b w:val="1"/>
                <w:bCs w:val="1"/>
                <w:color w:val="auto"/>
              </w:rPr>
              <w:t>Six Months Ended June 30,</w:t>
            </w:r>
          </w:p>
        </w:tc>
      </w:tr>
      <w:tr>
        <w:trPr>
          <w:trHeight w:val="187"/>
        </w:trPr>
        <w:tc>
          <w:tcPr>
            <w:tcW w:w="52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r>
      <w:tr>
        <w:trPr>
          <w:trHeight w:val="224"/>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90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1,321</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152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287</w:t>
            </w: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30"/>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3,981</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7,932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r>
      <w:tr>
        <w:trPr>
          <w:trHeight w:val="248"/>
        </w:trPr>
        <w:tc>
          <w:tcPr>
            <w:tcW w:w="5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stock-based compensation</w:t>
            </w:r>
          </w:p>
        </w:tc>
        <w:tc>
          <w:tcPr>
            <w:tcW w:w="90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6,154</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96"/>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Net Loss Per Common Share</w:t>
      </w:r>
    </w:p>
    <w:p>
      <w:pPr>
        <w:spacing w:after="0" w:line="17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table sets forth the computation of basic and diluted net loss per common share attributable to common stockholders (in thousands, except share and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6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6"/>
                <w:szCs w:val="16"/>
                <w:color w:val="auto"/>
              </w:rPr>
            </w:pPr>
          </w:p>
        </w:tc>
        <w:tc>
          <w:tcPr>
            <w:tcW w:w="2680" w:type="dxa"/>
            <w:vAlign w:val="bottom"/>
            <w:gridSpan w:val="4"/>
          </w:tcPr>
          <w:p>
            <w:pPr>
              <w:jc w:val="right"/>
              <w:ind w:right="555"/>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95"/>
        </w:trPr>
        <w:tc>
          <w:tcPr>
            <w:tcW w:w="52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5"/>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240"/>
              <w:spacing w:after="0"/>
              <w:rPr>
                <w:sz w:val="20"/>
                <w:szCs w:val="20"/>
                <w:color w:val="auto"/>
              </w:rPr>
            </w:pPr>
            <w:r>
              <w:rPr>
                <w:rFonts w:ascii="Arial" w:cs="Arial" w:eastAsia="Arial" w:hAnsi="Arial"/>
                <w:sz w:val="18"/>
                <w:szCs w:val="18"/>
                <w:color w:val="auto"/>
              </w:rPr>
              <w:t>Net loss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(32,011)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(11,312)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(52,968)</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(30,005)</w:t>
            </w:r>
          </w:p>
        </w:tc>
        <w:tc>
          <w:tcPr>
            <w:tcW w:w="0" w:type="dxa"/>
            <w:vAlign w:val="bottom"/>
          </w:tcPr>
          <w:p>
            <w:pPr>
              <w:spacing w:after="0"/>
              <w:rPr>
                <w:sz w:val="1"/>
                <w:szCs w:val="1"/>
                <w:color w:val="auto"/>
              </w:rPr>
            </w:pP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Denominator:</w:t>
            </w: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240" w:type="dxa"/>
            <w:vAlign w:val="bottom"/>
          </w:tcPr>
          <w:p>
            <w:pPr>
              <w:ind w:left="240"/>
              <w:spacing w:after="0" w:line="176" w:lineRule="exact"/>
              <w:rPr>
                <w:sz w:val="20"/>
                <w:szCs w:val="20"/>
                <w:color w:val="auto"/>
              </w:rPr>
            </w:pPr>
            <w:r>
              <w:rPr>
                <w:rFonts w:ascii="Arial" w:cs="Arial" w:eastAsia="Arial" w:hAnsi="Arial"/>
                <w:sz w:val="18"/>
                <w:szCs w:val="18"/>
                <w:color w:val="auto"/>
                <w:w w:val="90"/>
              </w:rPr>
              <w:t>Weighted average shares used to compute basic and diluted net loss</w:t>
            </w:r>
          </w:p>
        </w:tc>
        <w:tc>
          <w:tcPr>
            <w:tcW w:w="28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155,923,689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19,138,365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106,070,590</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13,452,766</w:t>
            </w:r>
          </w:p>
        </w:tc>
        <w:tc>
          <w:tcPr>
            <w:tcW w:w="0" w:type="dxa"/>
            <w:vAlign w:val="bottom"/>
          </w:tcPr>
          <w:p>
            <w:pPr>
              <w:spacing w:after="0"/>
              <w:rPr>
                <w:sz w:val="1"/>
                <w:szCs w:val="1"/>
                <w:color w:val="auto"/>
              </w:rPr>
            </w:pPr>
          </w:p>
        </w:tc>
      </w:tr>
      <w:tr>
        <w:trPr>
          <w:trHeight w:val="135"/>
        </w:trPr>
        <w:tc>
          <w:tcPr>
            <w:tcW w:w="5240" w:type="dxa"/>
            <w:vAlign w:val="bottom"/>
            <w:vMerge w:val="restart"/>
          </w:tcPr>
          <w:p>
            <w:pPr>
              <w:ind w:left="240"/>
              <w:spacing w:after="0"/>
              <w:rPr>
                <w:sz w:val="20"/>
                <w:szCs w:val="20"/>
                <w:color w:val="auto"/>
              </w:rPr>
            </w:pPr>
            <w:r>
              <w:rPr>
                <w:rFonts w:ascii="Arial" w:cs="Arial" w:eastAsia="Arial" w:hAnsi="Arial"/>
                <w:sz w:val="18"/>
                <w:szCs w:val="18"/>
                <w:color w:val="auto"/>
              </w:rPr>
              <w:t>per share</w:t>
            </w:r>
          </w:p>
        </w:tc>
        <w:tc>
          <w:tcPr>
            <w:tcW w:w="28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5240" w:type="dxa"/>
            <w:vAlign w:val="bottom"/>
            <w:tcBorders>
              <w:bottom w:val="single" w:sz="8" w:color="CCEEFF"/>
            </w:tcBorders>
            <w:vMerge w:val="continue"/>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52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loss per common share—basic and diluted</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shares and net loss per common share, prior to the Merger, have been retroactively restated as shares reflecting the exchange ratio of approximately 0.703 shares of the Company per one share of OTI as established in the Merger Agreement.</w:t>
      </w:r>
    </w:p>
    <w:p>
      <w:pPr>
        <w:spacing w:after="0" w:line="11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weighted average number of shares used to compute basic and diluted net loss per share excludes unvested early exercised common stock options subject to repurchase.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outstanding shares of potentially dilutive securities were excluded from the computation of diluted net loss per share attributable to common stockholders for the periods presented because including them would have been antidilutive: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00" w:type="dxa"/>
            <w:vAlign w:val="bottom"/>
          </w:tcPr>
          <w:p>
            <w:pPr>
              <w:spacing w:after="0"/>
              <w:rPr>
                <w:sz w:val="16"/>
                <w:szCs w:val="16"/>
                <w:color w:val="auto"/>
              </w:rPr>
            </w:pPr>
          </w:p>
        </w:tc>
        <w:tc>
          <w:tcPr>
            <w:tcW w:w="1820" w:type="dxa"/>
            <w:vAlign w:val="bottom"/>
            <w:tcBorders>
              <w:bottom w:val="single" w:sz="8" w:color="auto"/>
            </w:tcBorders>
            <w:gridSpan w:val="3"/>
          </w:tcPr>
          <w:p>
            <w:pPr>
              <w:ind w:left="940"/>
              <w:spacing w:after="0"/>
              <w:rPr>
                <w:sz w:val="20"/>
                <w:szCs w:val="20"/>
                <w:color w:val="auto"/>
              </w:rPr>
            </w:pPr>
            <w:r>
              <w:rPr>
                <w:rFonts w:ascii="Arial" w:cs="Arial" w:eastAsia="Arial" w:hAnsi="Arial"/>
                <w:sz w:val="14"/>
                <w:szCs w:val="14"/>
                <w:b w:val="1"/>
                <w:bCs w:val="1"/>
                <w:color w:val="auto"/>
                <w:w w:val="90"/>
              </w:rPr>
              <w:t>As of June 30,</w:t>
            </w:r>
          </w:p>
        </w:tc>
        <w:tc>
          <w:tcPr>
            <w:tcW w:w="920" w:type="dxa"/>
            <w:vAlign w:val="bottom"/>
            <w:tcBorders>
              <w:bottom w:val="single" w:sz="8" w:color="auto"/>
            </w:tcBorders>
          </w:tcPr>
          <w:p>
            <w:pPr>
              <w:spacing w:after="0"/>
              <w:rPr>
                <w:sz w:val="16"/>
                <w:szCs w:val="16"/>
                <w:color w:val="auto"/>
              </w:rPr>
            </w:pPr>
          </w:p>
        </w:tc>
      </w:tr>
      <w:tr>
        <w:trPr>
          <w:trHeight w:val="187"/>
        </w:trPr>
        <w:tc>
          <w:tcPr>
            <w:tcW w:w="85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r>
      <w:tr>
        <w:trPr>
          <w:trHeight w:val="224"/>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Redeemable convertible preferred stock</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44,217,377</w:t>
            </w:r>
          </w:p>
        </w:tc>
      </w:tr>
      <w:tr>
        <w:trPr>
          <w:trHeight w:val="230"/>
        </w:trPr>
        <w:tc>
          <w:tcPr>
            <w:tcW w:w="8500" w:type="dxa"/>
            <w:vAlign w:val="bottom"/>
          </w:tcPr>
          <w:p>
            <w:pPr>
              <w:ind w:left="20"/>
              <w:spacing w:after="0"/>
              <w:rPr>
                <w:sz w:val="20"/>
                <w:szCs w:val="20"/>
                <w:color w:val="auto"/>
              </w:rPr>
            </w:pPr>
            <w:r>
              <w:rPr>
                <w:rFonts w:ascii="Arial" w:cs="Arial" w:eastAsia="Arial" w:hAnsi="Arial"/>
                <w:sz w:val="18"/>
                <w:szCs w:val="18"/>
                <w:color w:val="auto"/>
              </w:rPr>
              <w:t>Options to purchase common stock</w:t>
            </w:r>
          </w:p>
        </w:tc>
        <w:tc>
          <w:tcPr>
            <w:tcW w:w="1320" w:type="dxa"/>
            <w:vAlign w:val="bottom"/>
          </w:tcPr>
          <w:p>
            <w:pPr>
              <w:jc w:val="right"/>
              <w:spacing w:after="0"/>
              <w:rPr>
                <w:sz w:val="20"/>
                <w:szCs w:val="20"/>
                <w:color w:val="auto"/>
              </w:rPr>
            </w:pPr>
            <w:r>
              <w:rPr>
                <w:rFonts w:ascii="Arial" w:cs="Arial" w:eastAsia="Arial" w:hAnsi="Arial"/>
                <w:sz w:val="18"/>
                <w:szCs w:val="18"/>
                <w:color w:val="auto"/>
              </w:rPr>
              <w:t>25,218,265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1,423,911</w:t>
            </w:r>
          </w:p>
        </w:tc>
      </w:tr>
      <w:tr>
        <w:trPr>
          <w:trHeight w:val="229"/>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RSA</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29,110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19,390</w:t>
            </w:r>
          </w:p>
        </w:tc>
      </w:tr>
      <w:tr>
        <w:trPr>
          <w:trHeight w:val="230"/>
        </w:trPr>
        <w:tc>
          <w:tcPr>
            <w:tcW w:w="8500" w:type="dxa"/>
            <w:vAlign w:val="bottom"/>
          </w:tcPr>
          <w:p>
            <w:pPr>
              <w:ind w:left="20"/>
              <w:spacing w:after="0"/>
              <w:rPr>
                <w:sz w:val="20"/>
                <w:szCs w:val="20"/>
                <w:color w:val="auto"/>
              </w:rPr>
            </w:pPr>
            <w:r>
              <w:rPr>
                <w:rFonts w:ascii="Arial" w:cs="Arial" w:eastAsia="Arial" w:hAnsi="Arial"/>
                <w:sz w:val="18"/>
                <w:szCs w:val="18"/>
                <w:color w:val="auto"/>
              </w:rPr>
              <w:t>Restricted stock units</w:t>
            </w:r>
          </w:p>
        </w:tc>
        <w:tc>
          <w:tcPr>
            <w:tcW w:w="1320" w:type="dxa"/>
            <w:vAlign w:val="bottom"/>
          </w:tcPr>
          <w:p>
            <w:pPr>
              <w:jc w:val="right"/>
              <w:spacing w:after="0"/>
              <w:rPr>
                <w:sz w:val="20"/>
                <w:szCs w:val="20"/>
                <w:color w:val="auto"/>
              </w:rPr>
            </w:pPr>
            <w:r>
              <w:rPr>
                <w:rFonts w:ascii="Arial" w:cs="Arial" w:eastAsia="Arial" w:hAnsi="Arial"/>
                <w:sz w:val="18"/>
                <w:szCs w:val="18"/>
                <w:color w:val="auto"/>
              </w:rPr>
              <w:t>2,588,629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early exercised common stock options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2,756,906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57,874</w:t>
            </w:r>
          </w:p>
        </w:tc>
      </w:tr>
      <w:tr>
        <w:trPr>
          <w:trHeight w:val="229"/>
        </w:trPr>
        <w:tc>
          <w:tcPr>
            <w:tcW w:w="8500" w:type="dxa"/>
            <w:vAlign w:val="bottom"/>
          </w:tcPr>
          <w:p>
            <w:pPr>
              <w:ind w:left="20"/>
              <w:spacing w:after="0"/>
              <w:rPr>
                <w:sz w:val="20"/>
                <w:szCs w:val="20"/>
                <w:color w:val="auto"/>
              </w:rPr>
            </w:pPr>
            <w:r>
              <w:rPr>
                <w:rFonts w:ascii="Arial" w:cs="Arial" w:eastAsia="Arial" w:hAnsi="Arial"/>
                <w:sz w:val="18"/>
                <w:szCs w:val="18"/>
                <w:color w:val="auto"/>
              </w:rPr>
              <w:t>Vested and early exercised options subject to nonrecourse notes</w:t>
            </w:r>
          </w:p>
        </w:tc>
        <w:tc>
          <w:tcPr>
            <w:tcW w:w="1320" w:type="dxa"/>
            <w:vAlign w:val="bottom"/>
          </w:tcPr>
          <w:p>
            <w:pPr>
              <w:jc w:val="right"/>
              <w:spacing w:after="0"/>
              <w:rPr>
                <w:sz w:val="20"/>
                <w:szCs w:val="20"/>
                <w:color w:val="auto"/>
              </w:rPr>
            </w:pPr>
            <w:r>
              <w:rPr>
                <w:rFonts w:ascii="Arial" w:cs="Arial" w:eastAsia="Arial" w:hAnsi="Arial"/>
                <w:sz w:val="18"/>
                <w:szCs w:val="18"/>
                <w:color w:val="auto"/>
              </w:rPr>
              <w:t>2,172,238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Preferred stock warrants</w:t>
            </w:r>
          </w:p>
        </w:tc>
        <w:tc>
          <w:tcPr>
            <w:tcW w:w="18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4,443,862</w:t>
            </w:r>
          </w:p>
        </w:tc>
      </w:tr>
      <w:tr>
        <w:trPr>
          <w:trHeight w:val="229"/>
        </w:trPr>
        <w:tc>
          <w:tcPr>
            <w:tcW w:w="8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Public and private common stock warrants</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15,999,996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85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48,765,144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50,162,414</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w:t>
      </w:r>
    </w:p>
    <w:p>
      <w:pPr>
        <w:spacing w:after="0" w:line="175"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The Company’s income tax provision for interim periods is determined using an estimate of the Company’s annual effective tax rate, adjusted for discrete items arising in the quarter. The Company’s effective tax rate differs from the U.S. statutory tax rate primarily due to valuation allowances on the deferred tax assets as it is more likely than not that some, or all, of the Company’s deferred tax assets will not be realized. The Company continues to maintain a full valuation allowance against its net deferred tax assets. Due to tax losses and the offsetting valuation allowance, the income tax provision for the three and six months ended June 30, 2021 and 2020 was not material to the Company’s condensed consolidated financial statements.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Revenue</w:t>
      </w:r>
    </w:p>
    <w:p>
      <w:pPr>
        <w:spacing w:after="0" w:line="17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Revenue from sale of lidar sensor kits, which are recognized at a point in time, was $7.4 million and $2.3 million in three months ended June 30, 2021 and 2020, respectively, and $14.0 million and $4.6 million in six months ended June 30, 2021 and 2020,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total revenues by geographic area based on the location products were shipped to and services provided (in thousands):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2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553"/>
              <w:spacing w:after="0"/>
              <w:rPr>
                <w:sz w:val="20"/>
                <w:szCs w:val="20"/>
                <w:color w:val="auto"/>
              </w:rPr>
            </w:pPr>
            <w:r>
              <w:rPr>
                <w:rFonts w:ascii="Arial" w:cs="Arial" w:eastAsia="Arial" w:hAnsi="Arial"/>
                <w:sz w:val="14"/>
                <w:szCs w:val="14"/>
                <w:b w:val="1"/>
                <w:bCs w:val="1"/>
                <w:color w:val="auto"/>
              </w:rPr>
              <w:t>Six Months Ended June 30,</w:t>
            </w:r>
          </w:p>
        </w:tc>
      </w:tr>
      <w:tr>
        <w:trPr>
          <w:trHeight w:val="187"/>
        </w:trPr>
        <w:tc>
          <w:tcPr>
            <w:tcW w:w="50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r>
      <w:tr>
        <w:trPr>
          <w:trHeight w:val="224"/>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90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2,572</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2,788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4,061</w:t>
            </w:r>
          </w:p>
        </w:tc>
      </w:tr>
      <w:tr>
        <w:trPr>
          <w:trHeight w:val="230"/>
        </w:trPr>
        <w:tc>
          <w:tcPr>
            <w:tcW w:w="5040" w:type="dxa"/>
            <w:vAlign w:val="bottom"/>
          </w:tcPr>
          <w:p>
            <w:pPr>
              <w:ind w:left="20"/>
              <w:spacing w:after="0"/>
              <w:rPr>
                <w:sz w:val="20"/>
                <w:szCs w:val="20"/>
                <w:color w:val="auto"/>
              </w:rPr>
            </w:pPr>
            <w:r>
              <w:rPr>
                <w:rFonts w:ascii="Arial" w:cs="Arial" w:eastAsia="Arial" w:hAnsi="Arial"/>
                <w:sz w:val="18"/>
                <w:szCs w:val="18"/>
                <w:color w:val="auto"/>
              </w:rPr>
              <w:t>Americas, excluding United States</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30"/>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Europe, Middle East and Africa</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2,931</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w:t>
            </w:r>
          </w:p>
        </w:tc>
      </w:tr>
      <w:tr>
        <w:trPr>
          <w:trHeight w:val="230"/>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Asia and Pacific</w:t>
            </w: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1,696</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1,143</w:t>
            </w:r>
          </w:p>
        </w:tc>
      </w:tr>
      <w:tr>
        <w:trPr>
          <w:trHeight w:val="248"/>
        </w:trPr>
        <w:tc>
          <w:tcPr>
            <w:tcW w:w="50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90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7,360</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4,281</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6,581</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Related Party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See Note 5, Debt for details of promissory notes issued by the Company to certain investors of the Company (or an affiliate thereof).</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See Note 9, Stock-based compensation for details of partial recourse promissory notes issued by the Company to certain executives and employees.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The following discussion of the results of operations and financial condition of Ouster, Inc. (“we,” “us,” “our,” the “Company,” “Ouster”) should be read in conjunction with the information set forth in Ouster’s condensed consolidated financial statements and the notes thereto included elsewhere in this Form 10-Q, as well as Ouster’s audited consolidated financial statements and the “Management’s Discussion and Analysis of Financial Condition and Results of Operations” filed as Exhibit 99.1 and Exhibit 99.3, respectively, to its Current Report on Form 8-K filed with the Securities and Exchange Commission on March 15, 2021, as amended on July 12, 2021 (the “Super 8-K”). This discussion may contain forward-looking statements based upon current expectations that involve risks and uncertainties. Ouster’s actual results may differ materially from those anticipated in these forward-looking statements as a result of various factors, including those set forth in the section titled “Risk Factors” in the final prospectus and definitive proxy statement, dated February 12, 2021 (the “Proxy Statement/Prospectus”), filed with the Securities and Exchange Commission (the “SEC”), as updated by the factors disclosed in the section titled “Risk Factors” in our Super 8-K and in this Quarterly Report on Form 10-Q.</w:t>
      </w:r>
    </w:p>
    <w:p>
      <w:pPr>
        <w:spacing w:after="0" w:line="12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i w:val="1"/>
          <w:iCs w:val="1"/>
          <w:color w:val="auto"/>
        </w:rPr>
        <w:t>On December 21, 2020, Ouster Technologies, Inc. (“OTI”, prior to the Merger, named Ouster, Inc.) entered into an Agreement and Plan of Merger (the “Merger Agreement”) with Colonnade Acquisition Corp., a Cayman Islands exempted company (“CLA”), and Beam Merger Sub, Inc. (“Merger Sub”), a Delaware corporation and subsidiary of CLA. OTI’s and CLA’s board of directors unanimously approved OTI’s entry into the Merger Agreement, and on March 11, 2021, the transactions contemplated by the Merger Agreement were consummated (all such transactions, the “Merger”), as further described below.</w:t>
      </w:r>
    </w:p>
    <w:p>
      <w:pPr>
        <w:spacing w:after="0" w:line="134" w:lineRule="exact"/>
        <w:rPr>
          <w:sz w:val="20"/>
          <w:szCs w:val="20"/>
          <w:color w:val="auto"/>
        </w:rPr>
      </w:pPr>
    </w:p>
    <w:p>
      <w:pPr>
        <w:jc w:val="both"/>
        <w:ind w:right="520"/>
        <w:spacing w:after="0" w:line="263" w:lineRule="auto"/>
        <w:rPr>
          <w:sz w:val="20"/>
          <w:szCs w:val="20"/>
          <w:color w:val="auto"/>
        </w:rPr>
      </w:pPr>
      <w:r>
        <w:rPr>
          <w:rFonts w:ascii="Arial" w:cs="Arial" w:eastAsia="Arial" w:hAnsi="Arial"/>
          <w:sz w:val="18"/>
          <w:szCs w:val="18"/>
          <w:i w:val="1"/>
          <w:iCs w:val="1"/>
          <w:color w:val="auto"/>
        </w:rPr>
        <w:t>Unless the context otherwise requires, references in this subsection to “we”, “our” and “the Company” refer to the business and operations of OTI (formerly known as Ouster, Inc.) and its consolidated subsidiaries prior to the Merger and to Ouster, Inc. (formerly known as Colonnade Acquisition Corp.) and its consolidated subsidiaries following the consummation of the Merger.</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right="20" w:firstLine="405"/>
        <w:spacing w:after="0" w:line="301" w:lineRule="auto"/>
        <w:rPr>
          <w:sz w:val="20"/>
          <w:szCs w:val="20"/>
          <w:color w:val="auto"/>
        </w:rPr>
      </w:pPr>
      <w:r>
        <w:rPr>
          <w:rFonts w:ascii="Arial" w:cs="Arial" w:eastAsia="Arial" w:hAnsi="Arial"/>
          <w:sz w:val="16"/>
          <w:szCs w:val="16"/>
          <w:color w:val="auto"/>
        </w:rPr>
        <w:t>We are a leading provider of high-resolution digital lidar sensors that offer advanced 3D vision to machinery, vehicles, robots, and fixed infrastructure assets, allowing each to understand and visualize the surrounding world and ultimately enabling safe operation and autonomy. We design and manufacture digital lidar sensors that we believe are the highest-performing, lowest-cost lidar solutions available today across each of our four target markets: industrial automation; smart infrastructure; robotics; and automotive. We shipped sensors to approximately 600 customers in the twelve months ended June 30, 2021.</w:t>
      </w:r>
    </w:p>
    <w:p>
      <w:pPr>
        <w:spacing w:after="0" w:line="103" w:lineRule="exact"/>
        <w:rPr>
          <w:sz w:val="20"/>
          <w:szCs w:val="20"/>
          <w:color w:val="auto"/>
        </w:rPr>
      </w:pPr>
    </w:p>
    <w:p>
      <w:pPr>
        <w:ind w:right="340" w:firstLine="405"/>
        <w:spacing w:after="0" w:line="259" w:lineRule="auto"/>
        <w:rPr>
          <w:sz w:val="20"/>
          <w:szCs w:val="20"/>
          <w:color w:val="auto"/>
        </w:rPr>
      </w:pPr>
      <w:r>
        <w:rPr>
          <w:rFonts w:ascii="Arial" w:cs="Arial" w:eastAsia="Arial" w:hAnsi="Arial"/>
          <w:sz w:val="18"/>
          <w:szCs w:val="18"/>
          <w:color w:val="auto"/>
        </w:rPr>
        <w:t>Our digital lidar sensors leverage a simplified architecture based on two semiconductor chips and are backed by a suite of patent-protected technology. We have invested heavily in patents since our inception, pursuing comprehensive coverage of invention families and use cases, with broad international coverage. We believe that our extensive patent coverage creates material barriers to entry for anyone aiming to compete in the digital lidar space.</w:t>
      </w:r>
    </w:p>
    <w:p>
      <w:pPr>
        <w:spacing w:after="0" w:line="133" w:lineRule="exact"/>
        <w:rPr>
          <w:sz w:val="20"/>
          <w:szCs w:val="20"/>
          <w:color w:val="auto"/>
        </w:rPr>
      </w:pPr>
    </w:p>
    <w:p>
      <w:pPr>
        <w:ind w:right="80" w:firstLine="405"/>
        <w:spacing w:after="0" w:line="275" w:lineRule="auto"/>
        <w:rPr>
          <w:sz w:val="20"/>
          <w:szCs w:val="20"/>
          <w:color w:val="auto"/>
        </w:rPr>
      </w:pPr>
      <w:r>
        <w:rPr>
          <w:rFonts w:ascii="Arial" w:cs="Arial" w:eastAsia="Arial" w:hAnsi="Arial"/>
          <w:sz w:val="17"/>
          <w:szCs w:val="17"/>
          <w:color w:val="auto"/>
        </w:rPr>
        <w:t>Our product offering today includes three models of sensors in our OS product line: the ultra-wide field of view OS0, the mid-range OS1, and the long-range OS2. In January 2020 we released new models in our OS product line, increasing the resolution of our OS1 model and introducing the OS0 and OS2 models. Within our OS sensor models, we offer numerous customization options, all enabled by embedded software. For each of our three models in the OS product line, we offer resolution options of 128 lines vertically (“channels”), 64 channels, or 32 channels, as well as many beam spacing options. We are currently developing our solid-state ES product line, which, when released, will consist of the long-range ES2 sensor.</w:t>
      </w:r>
    </w:p>
    <w:p>
      <w:pPr>
        <w:spacing w:after="0" w:line="122" w:lineRule="exact"/>
        <w:rPr>
          <w:sz w:val="20"/>
          <w:szCs w:val="20"/>
          <w:color w:val="auto"/>
        </w:rPr>
      </w:pPr>
    </w:p>
    <w:p>
      <w:pPr>
        <w:ind w:right="40" w:firstLine="405"/>
        <w:spacing w:after="0" w:line="270" w:lineRule="auto"/>
        <w:rPr>
          <w:sz w:val="20"/>
          <w:szCs w:val="20"/>
          <w:color w:val="auto"/>
        </w:rPr>
      </w:pPr>
      <w:r>
        <w:rPr>
          <w:rFonts w:ascii="Arial" w:cs="Arial" w:eastAsia="Arial" w:hAnsi="Arial"/>
          <w:sz w:val="17"/>
          <w:szCs w:val="17"/>
          <w:color w:val="auto"/>
        </w:rPr>
        <w:t>We believe the simplicity of our digital lidar design gives us a meaningful advantage in costs related to manufacturing, supply chain and production yields. The same digital lidar architecture underpins our entire product portfolio which we believe drives economies of scale in our supply chains and speeds time to market. With virtually unlimited software-defined products driving low-cost customization, we are able to increase stock keeping units (“SKUs”) for industry-specific applications, expanding our product offering with minimal manufacturing or inventory changes. We currently have over 75 different software-defined product SKUs, all based on this common architecture and shared core componentry. Additionally, we are successfully expanding our manufacturing capacity by outsourcing to our manufacturing partner, Benchmark Electronics, Inc. (“Benchmark”). Benchmark manufactures our products at its facility in Thailand, which we expect will reduce our product costs and allow us to rapidly scale production to meet our anticipated product demand. Based on cost quotes for our products in mass production, we believe our manufacturing costs to be lower than certain of our competitors, and we expect our manufacturing costs per unit to decrease further with higher volumes.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320" w:firstLine="405"/>
        <w:spacing w:after="0" w:line="275" w:lineRule="auto"/>
        <w:rPr>
          <w:sz w:val="20"/>
          <w:szCs w:val="20"/>
          <w:color w:val="auto"/>
        </w:rPr>
      </w:pPr>
      <w:r>
        <w:rPr>
          <w:rFonts w:ascii="Arial" w:cs="Arial" w:eastAsia="Arial" w:hAnsi="Arial"/>
          <w:sz w:val="17"/>
          <w:szCs w:val="17"/>
          <w:color w:val="auto"/>
        </w:rPr>
        <w:t>We have won and are actively negotiating a number of additional, multi-year sales contracts which includes our Strategic Customer Agreements (“SCAs”) which establish a multi-year purchase and supply framework for Ouster and the customer, and include details about customer programs and applications where the customer intends to use Ouster products. SCAs also include multi-year non-binding customer forecasts (typically of three to five years in length) giving Ouster visibility to the customer's long-term purchasing requirements, mutually agreed upon pricing over the duration of the agreement, and, in certain cases, include multi-year binding purchase commitments.</w:t>
      </w:r>
    </w:p>
    <w:p>
      <w:pPr>
        <w:spacing w:after="0" w:line="122"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We founded Ouster in 2015 with the invention of our high-performance digital lidar. Since then, we have grown to over 160 employees serving approximately 600 customers globally in the twelve months ended June 30, 2021. To continue to grow our business in the coming years, we have expanded and plan to continue to expand our sales and marketing efforts and our software development capabilities, and to accelerate sensor development efforts. We are headquartered in San Francisco, CA.</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Agreement with Colonnade Acquisition Corp. and Beam Merger Sub, Inc.</w:t>
      </w:r>
    </w:p>
    <w:p>
      <w:pPr>
        <w:spacing w:after="0" w:line="175" w:lineRule="exact"/>
        <w:rPr>
          <w:sz w:val="20"/>
          <w:szCs w:val="20"/>
          <w:color w:val="auto"/>
        </w:rPr>
      </w:pPr>
    </w:p>
    <w:p>
      <w:pPr>
        <w:ind w:right="140" w:firstLine="486"/>
        <w:spacing w:after="0" w:line="296" w:lineRule="auto"/>
        <w:rPr>
          <w:sz w:val="20"/>
          <w:szCs w:val="20"/>
          <w:color w:val="auto"/>
        </w:rPr>
      </w:pPr>
      <w:r>
        <w:rPr>
          <w:rFonts w:ascii="Arial" w:cs="Arial" w:eastAsia="Arial" w:hAnsi="Arial"/>
          <w:sz w:val="16"/>
          <w:szCs w:val="16"/>
          <w:color w:val="auto"/>
        </w:rPr>
        <w:t>On December 21, 2020, OTI entered into the Merger Agreement with CLA, and Merger Sub, a subsidiary of CLA. OTI’s and CLA’s board of directors unanimously approved OTI’s entry into the Merger Agreement, and on March 11, 2021, the transactions contemplated by the Merger Agreement were consummated. Pursuant to the terms of the Merger Agreement, (i) CLA domesticated as a corporation incorporated under the laws of the State of Delaware (the “Domestication”) and changed its name to “Ouster, Inc.” (with CLA after such domestication and the other transactions pursuant to the Merger Agreement being referred to as the “Company”) and (ii) Merger Sub merged with and into OTI (the “Merger”), with OTI surviving the Merger.</w:t>
      </w:r>
    </w:p>
    <w:p>
      <w:pPr>
        <w:spacing w:after="0" w:line="107" w:lineRule="exact"/>
        <w:rPr>
          <w:sz w:val="20"/>
          <w:szCs w:val="20"/>
          <w:color w:val="auto"/>
        </w:rPr>
      </w:pPr>
    </w:p>
    <w:p>
      <w:pPr>
        <w:ind w:right="20" w:firstLine="486"/>
        <w:spacing w:after="0" w:line="287" w:lineRule="auto"/>
        <w:rPr>
          <w:sz w:val="20"/>
          <w:szCs w:val="20"/>
          <w:color w:val="auto"/>
        </w:rPr>
      </w:pPr>
      <w:r>
        <w:rPr>
          <w:rFonts w:ascii="Arial" w:cs="Arial" w:eastAsia="Arial" w:hAnsi="Arial"/>
          <w:sz w:val="16"/>
          <w:szCs w:val="16"/>
          <w:color w:val="auto"/>
        </w:rPr>
        <w:t>As a result of and upon the effective time of the Domestication, among other things, (1) each of the then issued and outstanding 5,000,000 CLA Class B ordinary shares, par value $0.0001 per share, of CLA (the “CLA Class B ordinary shares”) converted automatically, on a one-for-one basis, into a CLA Class A ordinary share (as defined below), (2) immediately following the conversion described in clause (1), each of the then issued and outstanding 25,000,000 Class A ordinary shares, par value $0.0001 per share, of CLA (the “CLA Class A ordinary shares”), converted automatically, on a one-for-one basis, into a share of common stock, par value $0.0001 per share, of Ouster (the “Ouster common stock”), (3) each of the then issued and outstanding 10,000,000 redeemable warrants of CLA (the “CLA warrants”) converted automatically into a redeemable warrant to purchase one share of Ouster common stock (the “Public warrants”) pursuant to the Warrant Agreement, dated August 20, 2020 (the “Warrant Agreement”), between CLA and Continental Stock Transfer &amp; Trust Company (“Continental”), as warrant agent, and (4) each of the then issued and outstanding units of CLA that had not been previously separated into the underlying CLA Class A ordinary shares and underlying CLA warrants upon the request of the holder thereof (the “CLA units”), were cancelled and entitled the holder thereof to one share of Ouster common stock and one-half of one Public warrant, and (5) each of the then issued and outstanding 6,000,000 private placement warrants of CLA (the “Private Placement warrants”) converted automatically into a Public warrant pursuant to the Warrant Agreement. No fractional Public warrants were issued upon separation of the CLA units.</w:t>
      </w:r>
    </w:p>
    <w:p>
      <w:pPr>
        <w:spacing w:after="0" w:line="114" w:lineRule="exact"/>
        <w:rPr>
          <w:sz w:val="20"/>
          <w:szCs w:val="20"/>
          <w:color w:val="auto"/>
        </w:rPr>
      </w:pPr>
    </w:p>
    <w:p>
      <w:pPr>
        <w:ind w:right="120" w:firstLine="486"/>
        <w:spacing w:after="0" w:line="279" w:lineRule="auto"/>
        <w:rPr>
          <w:sz w:val="20"/>
          <w:szCs w:val="20"/>
          <w:color w:val="auto"/>
        </w:rPr>
      </w:pPr>
      <w:r>
        <w:rPr>
          <w:rFonts w:ascii="Arial" w:cs="Arial" w:eastAsia="Arial" w:hAnsi="Arial"/>
          <w:sz w:val="17"/>
          <w:szCs w:val="17"/>
          <w:color w:val="auto"/>
        </w:rPr>
        <w:t>Immediately prior to the effective time of the Merger, (1) each share of OTI’s Series B Preferred Stock, par value $0.00001 per share (the “OTI Preferred Stock”), converted into one share of common stock, par value $0.00001 per share, of OTI (the “OTI common stock” and, together with OTI Preferred Stock, the “OTI Capital Stock”) (such conversion, the “OTI Preferred Conversion”) and (2) all of the outstanding warrants to purchase shares of OTI Capital Stock were exercised in full or terminated in accordance with their respective terms (the “OTI Warrant Settlement”).</w:t>
      </w:r>
    </w:p>
    <w:p>
      <w:pPr>
        <w:spacing w:after="0" w:line="117" w:lineRule="exact"/>
        <w:rPr>
          <w:sz w:val="20"/>
          <w:szCs w:val="20"/>
          <w:color w:val="auto"/>
        </w:rPr>
      </w:pPr>
    </w:p>
    <w:p>
      <w:pPr>
        <w:ind w:right="140" w:firstLine="486"/>
        <w:spacing w:after="0" w:line="254" w:lineRule="auto"/>
        <w:rPr>
          <w:sz w:val="20"/>
          <w:szCs w:val="20"/>
          <w:color w:val="auto"/>
        </w:rPr>
      </w:pPr>
      <w:r>
        <w:rPr>
          <w:rFonts w:ascii="Arial" w:cs="Arial" w:eastAsia="Arial" w:hAnsi="Arial"/>
          <w:sz w:val="18"/>
          <w:szCs w:val="18"/>
          <w:color w:val="auto"/>
        </w:rPr>
        <w:t>As a result of and upon the closing of the Merger, among other things, all shares of OTI Capital Stock (after giving effect to the OTI Warrant Settlement) outstanding immediately prior to the closing of the Merger together with shares of OTI common stock reserved in respect of options to purchase shares of OTI common stock and restricted shares of OTI common stock (together, the “OTI Awards”) outstanding immediately prior to the closing of the Merger that were converted into awards based on Ouster common stock, were cancelled in exchange for the right to receive, or the reservation of, an aggregate of 150,000,000 shares of Ouster common stock (at a deemed value of $10.00 per share), which, in the case of OTI Awards, were shares underlying awards based on Ouster common stock, representing a fully-diluted pre-transaction. Upon the closing of the Merger, the Company received gross proceeds of $299.9 million from the Merger and private offering, offset by $8.5 million of pre-merger costs relating to CLA and offering costs of $26.6 million.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Impact</w:t>
      </w:r>
    </w:p>
    <w:p>
      <w:pPr>
        <w:spacing w:after="0" w:line="175"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Throughout 2020 and the six months ended June 30, 2021, the worldwide spread of the pandemic caused by the novel coronavirus (“COVID-19”) and the measures intended to contain the spread of COVID-19, including variants, have resulted in a global slowdown of economic activity and caused disruptions to our business. In particular, our headquarters are based in the San Francisco Bay Area, which has been subject to ongoing government measures and orders such as quarantines and social</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distancing. During the second and third quarters of 2020 we slowed our operating and capital spending with the expectation that our revenue and ability to raise capital would be impacted by the global pandemic. We believe that our overall growth rate during 2020 and through the second quarter ended June 30, 2021 was negatively impacted by the pandemic due in part to pandemic related supply chain issues, though, despite this impact, we were able to continue to grow our sales during 2021 and estimate that in the long-term the pandemic will act as a catalyst for wider adoption of automation and lidar technology.</w:t>
      </w:r>
    </w:p>
    <w:p>
      <w:pPr>
        <w:spacing w:after="0" w:line="103" w:lineRule="exact"/>
        <w:rPr>
          <w:sz w:val="20"/>
          <w:szCs w:val="20"/>
          <w:color w:val="auto"/>
        </w:rPr>
      </w:pPr>
    </w:p>
    <w:p>
      <w:pPr>
        <w:ind w:right="20" w:firstLine="405"/>
        <w:spacing w:after="0" w:line="269" w:lineRule="auto"/>
        <w:rPr>
          <w:sz w:val="20"/>
          <w:szCs w:val="20"/>
          <w:color w:val="auto"/>
        </w:rPr>
      </w:pPr>
      <w:r>
        <w:rPr>
          <w:rFonts w:ascii="Arial" w:cs="Arial" w:eastAsia="Arial" w:hAnsi="Arial"/>
          <w:sz w:val="17"/>
          <w:szCs w:val="17"/>
          <w:color w:val="auto"/>
        </w:rPr>
        <w:t>As a San Francisco Bay Area based company, we were affected by the “shelter in place” order in the first and second quarter of 2020. While the majority of our employees were able to work remotely, some employees, especially manufacturing employees, were not able to work from home. The “shelter in place” order delayed order fulfillment and revenue recognition during the first and second quarters of 2020. We continued to pay employees during the “shelter in place” order whether or not they were able to work. Manufacturing and order fulfillment employees were able to return to work in the second quarter of 2020; however, the number of employees allowed on premises at one time was greatly reduced as a result of the California reduced capacity mandates, which also affected our ability to fulfill orders and recognize revenue. Some essential employees were paid hazard pay, and the hazard pay combined with underutilized employee pay increased our employee overhead and decreased gross margins in the first and second quarter of 2020. Manufacturing employees continued to work in a reduced capacity at our San Francisco facility until the second quarter of 2021. We have moved a large portion of our manufacturing to our contract manufacturer in Thailand, which allowed us to satisfy demand for our digital lidar sensors in the first two quarters of 2021 and consequently allowing us to increase our year over year revenue.</w:t>
      </w:r>
    </w:p>
    <w:p>
      <w:pPr>
        <w:spacing w:after="0" w:line="131" w:lineRule="exact"/>
        <w:rPr>
          <w:sz w:val="20"/>
          <w:szCs w:val="20"/>
          <w:color w:val="auto"/>
        </w:rPr>
      </w:pPr>
    </w:p>
    <w:p>
      <w:pPr>
        <w:ind w:right="120" w:firstLine="405"/>
        <w:spacing w:after="0" w:line="301" w:lineRule="auto"/>
        <w:rPr>
          <w:sz w:val="20"/>
          <w:szCs w:val="20"/>
          <w:color w:val="auto"/>
        </w:rPr>
      </w:pPr>
      <w:r>
        <w:rPr>
          <w:rFonts w:ascii="Arial" w:cs="Arial" w:eastAsia="Arial" w:hAnsi="Arial"/>
          <w:sz w:val="16"/>
          <w:szCs w:val="16"/>
          <w:color w:val="auto"/>
        </w:rPr>
        <w:t>Our suppliers are located worldwide, and the suppliers in the Asia and Pacific geographical region were especially affected by the pandemic in the first half of 2020. Some of our key suppliers were affected by the pandemic resulting in supply chain disruptions. We experienced some unfavorable purchase price variance and situational expedite fees in order to meet production and delivery timelines. While we may see additional or new pressures on our supply chain both related and unrelated to the pandemic, we are actively taking steps to mitigate the impact of the materials shortages on our business.</w:t>
      </w:r>
    </w:p>
    <w:p>
      <w:pPr>
        <w:spacing w:after="0" w:line="103"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While we experienced quarter-over-quarter increases in revenue in 2020 and the first half of 2021, some customers have delayed orders and production schedules due to COVID-19. The pandemic continues to evolve, and the full extent to which the COVID-19 pandemic will directly or indirectly impact our business, results of operations and financial condition, including sales, expenses, reserves and allowances, manufacturing, research and development costs and personnel-related costs, will depend on future developments that are highly uncertain, including new information that may emerge concerning COVID-19 and the actions taken to contain, prevent or treat COVID-19, rate and success of vaccination efforts, any resurgence of the pandemic in areas where we, Benchmark or our suppliers operate, and the economic impact on local, regional, national and international customers and markets.</w:t>
      </w:r>
    </w:p>
    <w:p>
      <w:pPr>
        <w:spacing w:after="0" w:line="110"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Going forward, the situation remains uncertain, rapidly changing and hard to predict, and the COVID-19 pandemic may have a material negative impact on our future results.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216" w:lineRule="exact"/>
        <w:rPr>
          <w:sz w:val="20"/>
          <w:szCs w:val="20"/>
          <w:color w:val="auto"/>
        </w:rPr>
      </w:pPr>
    </w:p>
    <w:p>
      <w:pPr>
        <w:ind w:right="40" w:firstLine="405"/>
        <w:spacing w:after="0" w:line="271" w:lineRule="auto"/>
        <w:rPr>
          <w:sz w:val="20"/>
          <w:szCs w:val="20"/>
          <w:color w:val="auto"/>
        </w:rPr>
      </w:pPr>
      <w:r>
        <w:rPr>
          <w:rFonts w:ascii="Arial" w:cs="Arial" w:eastAsia="Arial" w:hAnsi="Arial"/>
          <w:sz w:val="17"/>
          <w:szCs w:val="17"/>
          <w:i w:val="1"/>
          <w:iCs w:val="1"/>
          <w:color w:val="auto"/>
        </w:rPr>
        <w:t xml:space="preserve">Supply Chain Continuity. </w:t>
      </w:r>
      <w:r>
        <w:rPr>
          <w:rFonts w:ascii="Arial" w:cs="Arial" w:eastAsia="Arial" w:hAnsi="Arial"/>
          <w:sz w:val="17"/>
          <w:szCs w:val="17"/>
          <w:color w:val="auto"/>
        </w:rPr>
        <w:t>A recent surge in demand for electronics containing semiconductor chips and stockpiling of chips by certain companies has</w:t>
      </w:r>
      <w:r>
        <w:rPr>
          <w:rFonts w:ascii="Arial" w:cs="Arial" w:eastAsia="Arial" w:hAnsi="Arial"/>
          <w:sz w:val="17"/>
          <w:szCs w:val="17"/>
          <w:i w:val="1"/>
          <w:iCs w:val="1"/>
          <w:color w:val="auto"/>
        </w:rPr>
        <w:t xml:space="preserve"> </w:t>
      </w:r>
      <w:r>
        <w:rPr>
          <w:rFonts w:ascii="Arial" w:cs="Arial" w:eastAsia="Arial" w:hAnsi="Arial"/>
          <w:sz w:val="17"/>
          <w:szCs w:val="17"/>
          <w:color w:val="auto"/>
        </w:rPr>
        <w:t>created disruptions in the supply chain, resulting in a global chip shortage impacting our industry. Some chip manufacturers are estimating this supply shortage may continue into 2022. These chip manufacturers are working to increase capacity in the future, and we are managing our inventory and working closely with our regular suppliers and customers to minimize the potential impacts of any supply shortages including by securing additional inventory. Accordingly, we do not expect the shortage to have a material near-term impact on our ability to meet existing demand for our current products; however, the shortage has adversely impacted our gross margins for the six months ended June 30, 2021 and may continue to do so. If our mitigating efforts are not successful or the shortage continues or worsens in ways we did not anticipate, our ability to supply or improve our current products as well as our development and rollout of future products could also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100" w:firstLine="405"/>
        <w:spacing w:after="0" w:line="291" w:lineRule="auto"/>
        <w:rPr>
          <w:sz w:val="20"/>
          <w:szCs w:val="20"/>
          <w:color w:val="auto"/>
        </w:rPr>
      </w:pPr>
      <w:r>
        <w:rPr>
          <w:rFonts w:ascii="Arial" w:cs="Arial" w:eastAsia="Arial" w:hAnsi="Arial"/>
          <w:sz w:val="16"/>
          <w:szCs w:val="16"/>
          <w:i w:val="1"/>
          <w:iCs w:val="1"/>
          <w:color w:val="auto"/>
        </w:rPr>
        <w:t xml:space="preserve">Commercialization of Lidar Applications. </w:t>
      </w:r>
      <w:r>
        <w:rPr>
          <w:rFonts w:ascii="Arial" w:cs="Arial" w:eastAsia="Arial" w:hAnsi="Arial"/>
          <w:sz w:val="16"/>
          <w:szCs w:val="16"/>
          <w:color w:val="auto"/>
        </w:rPr>
        <w:t>We believe that lidar is approaching its inflection point of adoption across our target end market</w:t>
      </w:r>
      <w:r>
        <w:rPr>
          <w:rFonts w:ascii="Arial" w:cs="Arial" w:eastAsia="Arial" w:hAnsi="Arial"/>
          <w:sz w:val="16"/>
          <w:szCs w:val="16"/>
          <w:i w:val="1"/>
          <w:iCs w:val="1"/>
          <w:color w:val="auto"/>
        </w:rPr>
        <w:t xml:space="preserve"> </w:t>
      </w:r>
      <w:r>
        <w:rPr>
          <w:rFonts w:ascii="Arial" w:cs="Arial" w:eastAsia="Arial" w:hAnsi="Arial"/>
          <w:sz w:val="16"/>
          <w:szCs w:val="16"/>
          <w:color w:val="auto"/>
        </w:rPr>
        <w:t>applications, and that we are well-positioned to capitalize on this market adoption. However, as our customers continue research and development projects to commercialize semi-autonomous solutions that rely on lidar technology, it is difficult to estimate the timing of ultimate end market and customer adoption. As a result, we expect that our results of operations, including revenue and gross margins, will fluctuate on a quarterly and annual basis for the foreseeable future. As the market for lidar solutions matures and more customers reach a commercialization phase with solutions that rely on our technology, the fluctuations in our operating results may become less pronounced. Nonetheless, our revenue may not grow as we expect unless and until more customers commercialize their products and lidar technology becomes more prevalent across our target end markets.</w:t>
      </w:r>
    </w:p>
    <w:p>
      <w:pPr>
        <w:spacing w:after="0" w:line="112"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i w:val="1"/>
          <w:iCs w:val="1"/>
          <w:color w:val="auto"/>
        </w:rPr>
        <w:t xml:space="preserve">Number of Customers in Production. </w:t>
      </w:r>
      <w:r>
        <w:rPr>
          <w:rFonts w:ascii="Arial" w:cs="Arial" w:eastAsia="Arial" w:hAnsi="Arial"/>
          <w:sz w:val="16"/>
          <w:szCs w:val="16"/>
          <w:color w:val="auto"/>
        </w:rPr>
        <w:t>For certain strategic customers and markets, our products must be integrated into a broader platform, which then</w:t>
      </w:r>
      <w:r>
        <w:rPr>
          <w:rFonts w:ascii="Arial" w:cs="Arial" w:eastAsia="Arial" w:hAnsi="Arial"/>
          <w:sz w:val="16"/>
          <w:szCs w:val="16"/>
          <w:i w:val="1"/>
          <w:iCs w:val="1"/>
          <w:color w:val="auto"/>
        </w:rPr>
        <w:t xml:space="preserve"> </w:t>
      </w:r>
      <w:r>
        <w:rPr>
          <w:rFonts w:ascii="Arial" w:cs="Arial" w:eastAsia="Arial" w:hAnsi="Arial"/>
          <w:sz w:val="16"/>
          <w:szCs w:val="16"/>
          <w:color w:val="auto"/>
        </w:rPr>
        <w:t>must be tested, validated, and achieve system-level performance and reliability thresholds that enable commercial production and sales. The time necessary to reach commercial production varies from six months to seven years, based on the market and application. For example, the production cycle in the automotive market tends to be substantially longer than in our other target markets, including industrial automation, smart infrastructure and robotics. It is critical to our future success in each of our target end markets that our customers reach commercial production and sales and that they select our products in their commercial production applications. Because the timelines to reach production vary significantly and the revenue generated by each customer in connection with commercial production and sales is unpredictable, it is difficult for us to reliably predict our financial performance.</w:t>
      </w:r>
    </w:p>
    <w:p>
      <w:pPr>
        <w:spacing w:after="0" w:line="112" w:lineRule="exact"/>
        <w:rPr>
          <w:sz w:val="20"/>
          <w:szCs w:val="20"/>
          <w:color w:val="auto"/>
        </w:rPr>
      </w:pPr>
    </w:p>
    <w:p>
      <w:pPr>
        <w:ind w:right="60" w:firstLine="405"/>
        <w:spacing w:after="0" w:line="275" w:lineRule="auto"/>
        <w:rPr>
          <w:sz w:val="20"/>
          <w:szCs w:val="20"/>
          <w:color w:val="auto"/>
        </w:rPr>
      </w:pPr>
      <w:r>
        <w:rPr>
          <w:rFonts w:ascii="Arial" w:cs="Arial" w:eastAsia="Arial" w:hAnsi="Arial"/>
          <w:sz w:val="17"/>
          <w:szCs w:val="17"/>
          <w:i w:val="1"/>
          <w:iCs w:val="1"/>
          <w:color w:val="auto"/>
        </w:rPr>
        <w:t xml:space="preserve">Customers’ Sales Volumes. </w:t>
      </w:r>
      <w:r>
        <w:rPr>
          <w:rFonts w:ascii="Arial" w:cs="Arial" w:eastAsia="Arial" w:hAnsi="Arial"/>
          <w:sz w:val="17"/>
          <w:szCs w:val="17"/>
          <w:color w:val="auto"/>
        </w:rPr>
        <w:t>Our customer base is diversified and we will continue to penetrate into diverse end markets to increase our sales volumes.</w:t>
      </w:r>
      <w:r>
        <w:rPr>
          <w:rFonts w:ascii="Arial" w:cs="Arial" w:eastAsia="Arial" w:hAnsi="Arial"/>
          <w:sz w:val="17"/>
          <w:szCs w:val="17"/>
          <w:i w:val="1"/>
          <w:iCs w:val="1"/>
          <w:color w:val="auto"/>
        </w:rPr>
        <w:t xml:space="preserve"> </w:t>
      </w:r>
      <w:r>
        <w:rPr>
          <w:rFonts w:ascii="Arial" w:cs="Arial" w:eastAsia="Arial" w:hAnsi="Arial"/>
          <w:sz w:val="17"/>
          <w:szCs w:val="17"/>
          <w:color w:val="auto"/>
        </w:rPr>
        <w:t>Ultimately widespread adoption of our customers’ products that incorporate our lidar solutions will depend on many factors, including the size of our customers’ end markets, end market penetration of our customer’s products that incorporate our digital lidar solutions, our end customers’ ability to sell their products, and the financial stability and reputation of the customers. We believe our sales volume by customer depends on the end market demand for our customers’ products that incorporate our digital lidar solutions as well as our ability to grow our sales force.</w:t>
      </w:r>
    </w:p>
    <w:p>
      <w:pPr>
        <w:spacing w:after="0" w:line="122"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i w:val="1"/>
          <w:iCs w:val="1"/>
          <w:color w:val="auto"/>
        </w:rPr>
        <w:t xml:space="preserve">Average Selling Prices (“ASPs”), Product Costs and Margins. </w:t>
      </w:r>
      <w:r>
        <w:rPr>
          <w:rFonts w:ascii="Arial" w:cs="Arial" w:eastAsia="Arial" w:hAnsi="Arial"/>
          <w:sz w:val="17"/>
          <w:szCs w:val="17"/>
          <w:color w:val="auto"/>
        </w:rPr>
        <w:t>Our product costs and gross margins depend largely on the volumes of sensors sold</w:t>
      </w:r>
      <w:r>
        <w:rPr>
          <w:rFonts w:ascii="Arial" w:cs="Arial" w:eastAsia="Arial" w:hAnsi="Arial"/>
          <w:sz w:val="17"/>
          <w:szCs w:val="17"/>
          <w:i w:val="1"/>
          <w:iCs w:val="1"/>
          <w:color w:val="auto"/>
        </w:rPr>
        <w:t xml:space="preserve"> </w:t>
      </w:r>
      <w:r>
        <w:rPr>
          <w:rFonts w:ascii="Arial" w:cs="Arial" w:eastAsia="Arial" w:hAnsi="Arial"/>
          <w:sz w:val="17"/>
          <w:szCs w:val="17"/>
          <w:color w:val="auto"/>
        </w:rPr>
        <w:t>and the number and variety of solutions we provide to our customers. We expect that our selling prices will vary by target end market and application due to market-specific supply and demand dynamics. We expect to continue to experience some downward pressure on margins from signing anticipated large multi-year agreements (including our SCAs) in the near term with multi-year negotiated pricing. We expect these customer-specific selling price fluctuations combined with our volume-driven product costs may drive fluctuations in revenue and gross margins on a quarterly basis. However, we expect that over time our volume-driven product costs will lead to gross margin improvement as our sales volume increases.</w:t>
      </w:r>
    </w:p>
    <w:p>
      <w:pPr>
        <w:spacing w:after="0" w:line="124" w:lineRule="exact"/>
        <w:rPr>
          <w:sz w:val="20"/>
          <w:szCs w:val="20"/>
          <w:color w:val="auto"/>
        </w:rPr>
      </w:pPr>
    </w:p>
    <w:p>
      <w:pPr>
        <w:ind w:right="40" w:firstLine="405"/>
        <w:spacing w:after="0" w:line="301" w:lineRule="auto"/>
        <w:rPr>
          <w:sz w:val="20"/>
          <w:szCs w:val="20"/>
          <w:color w:val="auto"/>
        </w:rPr>
      </w:pPr>
      <w:r>
        <w:rPr>
          <w:rFonts w:ascii="Arial" w:cs="Arial" w:eastAsia="Arial" w:hAnsi="Arial"/>
          <w:sz w:val="16"/>
          <w:szCs w:val="16"/>
          <w:i w:val="1"/>
          <w:iCs w:val="1"/>
          <w:color w:val="auto"/>
        </w:rPr>
        <w:t>Continued Investment and Innovation</w:t>
      </w:r>
      <w:r>
        <w:rPr>
          <w:rFonts w:ascii="Arial" w:cs="Arial" w:eastAsia="Arial" w:hAnsi="Arial"/>
          <w:sz w:val="16"/>
          <w:szCs w:val="16"/>
          <w:b w:val="1"/>
          <w:bCs w:val="1"/>
          <w:i w:val="1"/>
          <w:i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We believe that we are a leading digital lidar provider. Our financial performance is significantly dependent on</w:t>
      </w:r>
      <w:r>
        <w:rPr>
          <w:rFonts w:ascii="Arial" w:cs="Arial" w:eastAsia="Arial" w:hAnsi="Arial"/>
          <w:sz w:val="16"/>
          <w:szCs w:val="16"/>
          <w:i w:val="1"/>
          <w:iCs w:val="1"/>
          <w:color w:val="auto"/>
        </w:rPr>
        <w:t xml:space="preserve"> </w:t>
      </w:r>
      <w:r>
        <w:rPr>
          <w:rFonts w:ascii="Arial" w:cs="Arial" w:eastAsia="Arial" w:hAnsi="Arial"/>
          <w:sz w:val="16"/>
          <w:szCs w:val="16"/>
          <w:color w:val="auto"/>
        </w:rPr>
        <w:t>our ability to maintain this leading position which is further dependent on the investments we make in research and development. We believe it is essential that we continue to identify and respond to rapidly evolving customer requirements, including successfully realizing our product roadmap. If we fail to continue our innovation, our market position and revenue may be adversely affected, and our investments in that area will not be recovered.</w:t>
      </w:r>
    </w:p>
    <w:p>
      <w:pPr>
        <w:spacing w:after="0" w:line="103" w:lineRule="exact"/>
        <w:rPr>
          <w:sz w:val="20"/>
          <w:szCs w:val="20"/>
          <w:color w:val="auto"/>
        </w:rPr>
      </w:pPr>
    </w:p>
    <w:p>
      <w:pPr>
        <w:ind w:right="140" w:firstLine="405"/>
        <w:spacing w:after="0" w:line="275" w:lineRule="auto"/>
        <w:rPr>
          <w:sz w:val="20"/>
          <w:szCs w:val="20"/>
          <w:color w:val="auto"/>
        </w:rPr>
      </w:pPr>
      <w:r>
        <w:rPr>
          <w:rFonts w:ascii="Arial" w:cs="Arial" w:eastAsia="Arial" w:hAnsi="Arial"/>
          <w:sz w:val="17"/>
          <w:szCs w:val="17"/>
          <w:i w:val="1"/>
          <w:iCs w:val="1"/>
          <w:color w:val="auto"/>
        </w:rPr>
        <w:t xml:space="preserve">Market Trends and Uncertainties. </w:t>
      </w:r>
      <w:r>
        <w:rPr>
          <w:rFonts w:ascii="Arial" w:cs="Arial" w:eastAsia="Arial" w:hAnsi="Arial"/>
          <w:sz w:val="17"/>
          <w:szCs w:val="17"/>
          <w:color w:val="auto"/>
        </w:rPr>
        <w:t>We anticipate robust demand for our digital lidar solution. We estimate a multibillion dollar total addressable</w:t>
      </w:r>
      <w:r>
        <w:rPr>
          <w:rFonts w:ascii="Arial" w:cs="Arial" w:eastAsia="Arial" w:hAnsi="Arial"/>
          <w:sz w:val="17"/>
          <w:szCs w:val="17"/>
          <w:i w:val="1"/>
          <w:iCs w:val="1"/>
          <w:color w:val="auto"/>
        </w:rPr>
        <w:t xml:space="preserve"> </w:t>
      </w:r>
      <w:r>
        <w:rPr>
          <w:rFonts w:ascii="Arial" w:cs="Arial" w:eastAsia="Arial" w:hAnsi="Arial"/>
          <w:sz w:val="17"/>
          <w:szCs w:val="17"/>
          <w:color w:val="auto"/>
        </w:rPr>
        <w:t>market (“TAM”) for our solutions in the near future. We define our TAM as automation applications in the industrial, smart infrastructure, robotics and automotive end markets where we actively engage and maintain customer relationships. Each of our target markets is potentially a significant global opportunity, and these markets have historically been underserved by limited or inferior technology or not served at all. We believe we are well positioned in our market as a leading provider of high-resolution digital lidar sensors.</w:t>
      </w:r>
    </w:p>
    <w:p>
      <w:pPr>
        <w:spacing w:after="0" w:line="122" w:lineRule="exact"/>
        <w:rPr>
          <w:sz w:val="20"/>
          <w:szCs w:val="20"/>
          <w:color w:val="auto"/>
        </w:rPr>
      </w:pPr>
    </w:p>
    <w:p>
      <w:pPr>
        <w:ind w:right="240" w:firstLine="405"/>
        <w:spacing w:after="0" w:line="275" w:lineRule="auto"/>
        <w:rPr>
          <w:sz w:val="20"/>
          <w:szCs w:val="20"/>
          <w:color w:val="auto"/>
        </w:rPr>
      </w:pPr>
      <w:r>
        <w:rPr>
          <w:rFonts w:ascii="Arial" w:cs="Arial" w:eastAsia="Arial" w:hAnsi="Arial"/>
          <w:sz w:val="17"/>
          <w:szCs w:val="17"/>
          <w:color w:val="auto"/>
        </w:rPr>
        <w:t>Although increasing adoption of semi-autonomous solutions that rely on lidar technology may generate higher demand, we may not be able to take advantage of demand if we are unable to anticipate regulatory changes and adapt quickly enough to meet such new regulatory standards or requirements applicable to us or to our customers’ products in which our digital lidar sensors are used. Market acceptance of semi-autonomous solutions and active safety technology depend upon many factors, including cost, performance, safety performance, regulatory requirements and international taxes or tariffs related to such technologies. These factors may impact the ultimate market acceptance of our lidar technology.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i w:val="1"/>
          <w:iCs w:val="1"/>
          <w:color w:val="auto"/>
        </w:rPr>
        <w:t xml:space="preserve">International Expansion. </w:t>
      </w:r>
      <w:r>
        <w:rPr>
          <w:rFonts w:ascii="Arial" w:cs="Arial" w:eastAsia="Arial" w:hAnsi="Arial"/>
          <w:sz w:val="18"/>
          <w:szCs w:val="18"/>
          <w:color w:val="auto"/>
        </w:rPr>
        <w:t>We view international expansion as an important element of our strategy to increase revenue and achieve profitability. We</w:t>
      </w:r>
      <w:r>
        <w:rPr>
          <w:rFonts w:ascii="Arial" w:cs="Arial" w:eastAsia="Arial" w:hAnsi="Arial"/>
          <w:sz w:val="18"/>
          <w:szCs w:val="18"/>
          <w:i w:val="1"/>
          <w:iCs w:val="1"/>
          <w:color w:val="auto"/>
        </w:rPr>
        <w:t xml:space="preserve"> </w:t>
      </w:r>
      <w:r>
        <w:rPr>
          <w:rFonts w:ascii="Arial" w:cs="Arial" w:eastAsia="Arial" w:hAnsi="Arial"/>
          <w:sz w:val="18"/>
          <w:szCs w:val="18"/>
          <w:color w:val="auto"/>
        </w:rPr>
        <w:t>continue to position ourselves in geographic markets that we expect to serve as important sources of future growth. We have an existing presence in three regions: North and South America; Asia and Pacific; and Europe, Middle East and Africa. We intend to expand our presence in these regions over time including through distribution partnerships. Expanded global reach will require continued investment and may expose us to additional foreign currency risk, international taxes and tariffs, legal obligations and additional operational costs, risks and challenges that may impact our ability to meet our projected sales volumes, revenue and gross margins.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71"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The majority of our revenue comes from the sale of our digital lidar sensors and accessories both directly to end users and through distributors both domestically and internationally. We recognize revenue from product sales when the performance obligation of transferring control of the product to the customer has been met, generally when the product is shipped. The company also recognizes revenue by performing services related to product development and validation, and shipping; however, we do not expect product development and validation and license and services to be material components of revenue, cost of revenue or gross margin in the foreseeable future. Performance obligations related to services are generally recognized over time, based on cost-to-cost input basis or straight-line over time. Amounts billed to customers related to shipping and handling are classified as revenue, and we have elected to recognize the cost of shipping activities that occur after control has transferred to the customer as a fulfillment cost rather than a separate performance obligation. All related costs are accrued and recognized within cost of revenue when the related revenue is recognized.</w:t>
      </w:r>
    </w:p>
    <w:p>
      <w:pPr>
        <w:spacing w:after="0" w:line="111" w:lineRule="exact"/>
        <w:rPr>
          <w:sz w:val="20"/>
          <w:szCs w:val="20"/>
          <w:color w:val="auto"/>
        </w:rPr>
      </w:pPr>
    </w:p>
    <w:p>
      <w:pPr>
        <w:ind w:right="80" w:firstLine="405"/>
        <w:spacing w:after="0" w:line="290" w:lineRule="auto"/>
        <w:rPr>
          <w:sz w:val="20"/>
          <w:szCs w:val="20"/>
          <w:color w:val="auto"/>
        </w:rPr>
      </w:pPr>
      <w:r>
        <w:rPr>
          <w:rFonts w:ascii="Arial" w:cs="Arial" w:eastAsia="Arial" w:hAnsi="Arial"/>
          <w:sz w:val="16"/>
          <w:szCs w:val="16"/>
          <w:color w:val="auto"/>
        </w:rPr>
        <w:t>Most of our customers are currently in the evaluation or early R&amp;D stage with our products. Currently, our product revenue consists of both customers ordering small volumes of our products that are in an evaluation phase and customers that order larger volumes of our products and have more predictable long-term production schedules. However, we are still at the very beginning of the lidar adoption curve, and some customers are still learning their ramp rates which can impact the timing of purchase orders quarter to quarter. As we grow our business we expect to improve predictability into our customers’ needs and timelines, and expect the timing of orders will have a less notable impact on our quarterly results. Over the coming years, as more of our customers move into their respective production phases, we expect the majority of our product revenue to shift to larger volume orders based on predictable production schedules. We also expect more of our revenue to come from international customers, and anticipate that our sales from regions outside of North and South America will grow over the long-term to approximately two-thirds of our total revenue.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71"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color w:val="auto"/>
        </w:rPr>
        <w:t>Cost of revenue consists of the manufacturing cost of our digital lidar sensors, which primarily consists of sensor components, personnel-related costs directly associated with our manufacturing organization, and amounts paid to our third-party contract manufacturer and vendors. Our cost of revenue also includes depreciation of manufacturing equipment, an allocated portion of overhead, facility and IT costs, stock-based compensation for manufacturing personnel, reserves for estimated warranty expenses, excess and obsolete inventory and shipping costs.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171" w:lineRule="exact"/>
        <w:rPr>
          <w:sz w:val="20"/>
          <w:szCs w:val="20"/>
          <w:color w:val="auto"/>
        </w:rPr>
      </w:pPr>
    </w:p>
    <w:p>
      <w:pPr>
        <w:ind w:right="260" w:firstLine="405"/>
        <w:spacing w:after="0" w:line="255" w:lineRule="auto"/>
        <w:rPr>
          <w:sz w:val="20"/>
          <w:szCs w:val="20"/>
          <w:color w:val="auto"/>
        </w:rPr>
      </w:pPr>
      <w:r>
        <w:rPr>
          <w:rFonts w:ascii="Arial" w:cs="Arial" w:eastAsia="Arial" w:hAnsi="Arial"/>
          <w:sz w:val="18"/>
          <w:szCs w:val="18"/>
          <w:color w:val="auto"/>
        </w:rPr>
        <w:t>Our gross profit equals total revenues less our total cost of revenues, and our gross margin is our gross profit expressed as a percentage of total revenue. We experienced negative gross margins from the fourth quarter of 2018 until we turned gross margin positive during 2020 primarily due to increased unit volumes which improved our ability to absorb fixed costs and lowered material costs by increasing our buying power and a shift to outsourced mass production of our sensors to Benchmark, who has leverage for greater volume discounts and lower overhead costs. Subject to quarterly fluctuations and volatility, we expect actual costs to improve as we manufacture higher unit volumes of sensors and a greater portion of our sensors are produced by our contract manufacturer in Thailand.</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71" w:lineRule="exact"/>
        <w:rPr>
          <w:sz w:val="20"/>
          <w:szCs w:val="20"/>
          <w:color w:val="auto"/>
        </w:rPr>
      </w:pPr>
    </w:p>
    <w:p>
      <w:pPr>
        <w:ind w:right="640" w:firstLine="405"/>
        <w:spacing w:after="0" w:line="277" w:lineRule="auto"/>
        <w:rPr>
          <w:sz w:val="20"/>
          <w:szCs w:val="20"/>
          <w:color w:val="auto"/>
        </w:rPr>
      </w:pPr>
      <w:r>
        <w:rPr>
          <w:rFonts w:ascii="Arial" w:cs="Arial" w:eastAsia="Arial" w:hAnsi="Arial"/>
          <w:sz w:val="18"/>
          <w:szCs w:val="18"/>
          <w:color w:val="auto"/>
        </w:rPr>
        <w:t>Research and development (“R&amp;D”) activities are primarily conducted at our San Francisco based headquarters and consist of the following activities:</w:t>
      </w:r>
    </w:p>
    <w:p>
      <w:pPr>
        <w:spacing w:after="0" w:line="62" w:lineRule="exact"/>
        <w:rPr>
          <w:sz w:val="20"/>
          <w:szCs w:val="20"/>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Design, prototyping, and testing of proprietary electrical, optical, and mechanical subsystems for our digital lidar products;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Robust testing for industrial and autonomous vehicle safety certifications;</w:t>
      </w:r>
    </w:p>
    <w:p>
      <w:pPr>
        <w:spacing w:after="0" w:line="117" w:lineRule="exact"/>
        <w:rPr>
          <w:rFonts w:ascii="Arial" w:cs="Arial" w:eastAsia="Arial" w:hAnsi="Arial"/>
          <w:sz w:val="18"/>
          <w:szCs w:val="18"/>
          <w:color w:val="auto"/>
        </w:rPr>
      </w:pPr>
    </w:p>
    <w:p>
      <w:pPr>
        <w:ind w:left="820" w:right="200" w:hanging="326"/>
        <w:spacing w:after="0" w:line="277" w:lineRule="auto"/>
        <w:tabs>
          <w:tab w:leader="none" w:pos="815" w:val="left"/>
        </w:tabs>
        <w:numPr>
          <w:ilvl w:val="0"/>
          <w:numId w:val="7"/>
        </w:numPr>
        <w:rPr>
          <w:rFonts w:ascii="Arial" w:cs="Arial" w:eastAsia="Arial" w:hAnsi="Arial"/>
          <w:sz w:val="18"/>
          <w:szCs w:val="18"/>
          <w:color w:val="auto"/>
        </w:rPr>
      </w:pPr>
      <w:r>
        <w:rPr>
          <w:rFonts w:ascii="Arial" w:cs="Arial" w:eastAsia="Arial" w:hAnsi="Arial"/>
          <w:sz w:val="18"/>
          <w:szCs w:val="18"/>
          <w:color w:val="auto"/>
        </w:rPr>
        <w:t>Development of new products and enhancements to existing products in response to customer requirements including firmware development and software development of lidar integration products;</w:t>
      </w:r>
    </w:p>
    <w:p>
      <w:pPr>
        <w:spacing w:after="0" w:line="62"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Custom system-on-a-chip (“SoC”) design for Ouster’s digital lidar products; and</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Development of custom manufacturing equipment.</w:t>
      </w:r>
    </w:p>
    <w:p>
      <w:pPr>
        <w:spacing w:after="0" w:line="171"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R&amp;D expenses consist of personnel-related expenses, including salaries, benefits, and stock-based compensation, for all personnel directly involved in R&amp;D activities, third-party engineering and contractor costs, and prototype expenses.</w:t>
      </w:r>
    </w:p>
    <w:p>
      <w:pPr>
        <w:spacing w:after="0" w:line="116" w:lineRule="exact"/>
        <w:rPr>
          <w:sz w:val="20"/>
          <w:szCs w:val="20"/>
          <w:color w:val="auto"/>
        </w:rPr>
      </w:pPr>
    </w:p>
    <w:p>
      <w:pPr>
        <w:ind w:right="300" w:firstLine="405"/>
        <w:spacing w:after="0" w:line="263" w:lineRule="auto"/>
        <w:rPr>
          <w:sz w:val="20"/>
          <w:szCs w:val="20"/>
          <w:color w:val="auto"/>
        </w:rPr>
      </w:pPr>
      <w:r>
        <w:rPr>
          <w:rFonts w:ascii="Arial" w:cs="Arial" w:eastAsia="Arial" w:hAnsi="Arial"/>
          <w:sz w:val="18"/>
          <w:szCs w:val="18"/>
          <w:color w:val="auto"/>
        </w:rPr>
        <w:t>R&amp;D costs are expensed as they are incurred. Our investment in R&amp;D will continue to grow as we invest in new lidar technology and related software. Our absolute amount of R&amp;D expense will grow over time; however, we expect R&amp;D as a percentage of revenue to decrease annually as our business grows.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Expenses</w:t>
      </w:r>
    </w:p>
    <w:p>
      <w:pPr>
        <w:spacing w:after="0" w:line="171" w:lineRule="exact"/>
        <w:rPr>
          <w:sz w:val="20"/>
          <w:szCs w:val="20"/>
          <w:color w:val="auto"/>
        </w:rPr>
      </w:pPr>
    </w:p>
    <w:p>
      <w:pPr>
        <w:ind w:right="20" w:firstLine="405"/>
        <w:spacing w:after="0" w:line="296" w:lineRule="auto"/>
        <w:rPr>
          <w:sz w:val="20"/>
          <w:szCs w:val="20"/>
          <w:color w:val="auto"/>
        </w:rPr>
      </w:pPr>
      <w:r>
        <w:rPr>
          <w:rFonts w:ascii="Arial" w:cs="Arial" w:eastAsia="Arial" w:hAnsi="Arial"/>
          <w:sz w:val="16"/>
          <w:szCs w:val="16"/>
          <w:color w:val="auto"/>
        </w:rPr>
        <w:t>Our business development, customer support and marketing teams are located in offices worldwide. Selling and marketing expenses consist of personnel-related expenses, including salaries, benefits, and stock-based compensation, for all personnel directly involved in business development, customer support, and marketing activities, and marketing expenses including trade shows, advertising, and demonstration equipment. Our investment in sales and marketing will continue to grow as we continue to expand our sales team globally, and our absolute amount of sales and marketing expenses will grow over time. We expect sales and marketing spend as a percentage of revenue to decrease over time as our business grows.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71"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General and administrative expenses consist of personnel-related expenses, including salaries, benefits, and stock-based compensation, of our executives and members of the board of directors, finance, human resource, IT, and legal departments as well as fees related to legal fees, patent prosecution, accounting, finance and professional services as well as insurance, and bank fees. Our absolute amount of general and administrative expense will grow over time; however, we expect the general and administrative spend as a percentage of revenue to decrease annually as our business grows. Near term increases in general and administrative expenses are expected to be related to hiring more personnel and consultants to support our growing international expansion and compliance with the applicable provisions of the Sarbanes-Oxley Act (“SOX”) and other U.S. Securities and Exchange Commission (“SEC”) rules and regulations as a result of becoming a public company following the Merger.</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71"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We measure and recognize stock-based compensation expense for stock-based awards over the requisite service periods based on the estimated grant date fair value using the Black-Scholes-Merton option pricing model.</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Interest Expense, and Other Income (Expense), Net</w:t>
      </w:r>
    </w:p>
    <w:p>
      <w:pPr>
        <w:spacing w:after="0" w:line="171"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Interest income consists primarily of income earned on our cash and cash equivalents. These amounts will vary based on our cash and cash equivalents balances and market rates. Interest expense consists primarily of interest on our debt and convertible notes and amortization of debt issuance costs and discount. Other income (expense), net consists primarily of realized and unrealized gains and losses on foreign currency transactions and balances, the change in fair value of financial instruments, including warrants issued in connection with a debt agreement, and Private Placement warrants acquired as part of the Merger.</w:t>
      </w:r>
    </w:p>
    <w:p>
      <w:pPr>
        <w:spacing w:after="0" w:line="200" w:lineRule="exact"/>
        <w:rPr>
          <w:sz w:val="20"/>
          <w:szCs w:val="20"/>
          <w:color w:val="auto"/>
        </w:rPr>
      </w:pPr>
    </w:p>
    <w:p>
      <w:pPr>
        <w:spacing w:after="0" w:line="36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ind w:right="20" w:firstLine="405"/>
        <w:spacing w:after="0" w:line="275" w:lineRule="auto"/>
        <w:rPr>
          <w:sz w:val="20"/>
          <w:szCs w:val="20"/>
          <w:color w:val="auto"/>
        </w:rPr>
      </w:pPr>
      <w:r>
        <w:rPr>
          <w:rFonts w:ascii="Arial" w:cs="Arial" w:eastAsia="Arial" w:hAnsi="Arial"/>
          <w:sz w:val="17"/>
          <w:szCs w:val="17"/>
          <w:color w:val="auto"/>
        </w:rPr>
        <w:t>Our income tax provision consists of federal, state and foreign current and deferred income taxes. Our income tax provision for interim periods is determined using an estimate of our annual effective tax rate, adjusted for discrete items arising in the quarter. Our effective tax rate differs from the U.S. statutory tax rate primarily due to valuation allowances on its deferred tax assets as it is more likely than not that some, or all, of our deferred tax assets will not be realized. We continue to maintain a full valuation allowance against its net deferred tax assets. Income tax provision for the three and six months ended June 30, 2021 and 2020, respectively, was not material to the Company’s condensed consolidated financial statements.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our condensed consolidated results of operations data for the periods presented:</w:t>
      </w:r>
    </w:p>
    <w:p>
      <w:pPr>
        <w:sectPr>
          <w:pgSz w:w="11900" w:h="16838" w:orient="portrait"/>
          <w:cols w:equalWidth="0" w:num="1">
            <w:col w:w="11240"/>
          </w:cols>
          <w:pgMar w:left="320" w:top="125" w:right="339" w:bottom="1440" w:gutter="0" w:footer="0" w:header="0"/>
        </w:sectPr>
      </w:pPr>
    </w:p>
    <w:p>
      <w:pPr>
        <w:spacing w:after="0" w:line="257" w:lineRule="exact"/>
        <w:rPr>
          <w:sz w:val="20"/>
          <w:szCs w:val="20"/>
          <w:color w:val="auto"/>
        </w:rPr>
      </w:pPr>
    </w:p>
    <w:p>
      <w:pPr>
        <w:ind w:left="5780"/>
        <w:spacing w:after="0"/>
        <w:rPr>
          <w:sz w:val="20"/>
          <w:szCs w:val="20"/>
          <w:color w:val="auto"/>
        </w:rPr>
      </w:pPr>
      <w:r>
        <w:rPr>
          <w:rFonts w:ascii="Arial" w:cs="Arial" w:eastAsia="Arial" w:hAnsi="Arial"/>
          <w:sz w:val="13"/>
          <w:szCs w:val="13"/>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31115</wp:posOffset>
            </wp:positionV>
            <wp:extent cx="186880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33" w:lineRule="exact"/>
        <w:rPr>
          <w:sz w:val="20"/>
          <w:szCs w:val="20"/>
          <w:color w:val="auto"/>
        </w:rPr>
      </w:pPr>
    </w:p>
    <w:p>
      <w:pPr>
        <w:ind w:left="5820"/>
        <w:spacing w:after="0"/>
        <w:tabs>
          <w:tab w:leader="none" w:pos="730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23495</wp:posOffset>
            </wp:positionV>
            <wp:extent cx="186880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22" w:lineRule="exact"/>
        <w:rPr>
          <w:sz w:val="20"/>
          <w:szCs w:val="20"/>
          <w:color w:val="auto"/>
        </w:rPr>
      </w:pPr>
    </w:p>
    <w:p>
      <w:pPr>
        <w:ind w:left="6040"/>
        <w:spacing w:after="0"/>
        <w:rPr>
          <w:sz w:val="20"/>
          <w:szCs w:val="20"/>
          <w:color w:val="auto"/>
        </w:rPr>
      </w:pPr>
      <w:r>
        <w:rPr>
          <w:rFonts w:ascii="Arial" w:cs="Arial" w:eastAsia="Arial" w:hAnsi="Arial"/>
          <w:sz w:val="14"/>
          <w:szCs w:val="14"/>
          <w:b w:val="1"/>
          <w:bCs w:val="1"/>
          <w:color w:val="auto"/>
        </w:rPr>
        <w:t>(dollars in thousands)</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jc w:val="center"/>
        <w:ind w:right="580"/>
        <w:spacing w:after="0"/>
        <w:rPr>
          <w:sz w:val="20"/>
          <w:szCs w:val="20"/>
          <w:color w:val="auto"/>
        </w:rPr>
      </w:pPr>
      <w:r>
        <w:rPr>
          <w:rFonts w:ascii="Arial" w:cs="Arial" w:eastAsia="Arial" w:hAnsi="Arial"/>
          <w:sz w:val="13"/>
          <w:szCs w:val="13"/>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31115</wp:posOffset>
            </wp:positionV>
            <wp:extent cx="18770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877060" cy="8255"/>
                    </a:xfrm>
                    <a:prstGeom prst="rect">
                      <a:avLst/>
                    </a:prstGeom>
                    <a:noFill/>
                  </pic:spPr>
                </pic:pic>
              </a:graphicData>
            </a:graphic>
          </wp:anchor>
        </w:drawing>
      </w:r>
    </w:p>
    <w:p>
      <w:pPr>
        <w:spacing w:after="0" w:line="33" w:lineRule="exact"/>
        <w:rPr>
          <w:sz w:val="20"/>
          <w:szCs w:val="20"/>
          <w:color w:val="auto"/>
        </w:rPr>
      </w:pPr>
    </w:p>
    <w:p>
      <w:pPr>
        <w:spacing w:after="0"/>
        <w:tabs>
          <w:tab w:leader="none" w:pos="1500" w:val="left"/>
        </w:tabs>
        <w:rPr>
          <w:sz w:val="20"/>
          <w:szCs w:val="20"/>
          <w:color w:val="auto"/>
        </w:rPr>
      </w:pPr>
      <w:r>
        <w:rPr>
          <w:rFonts w:ascii="Arial" w:cs="Arial" w:eastAsia="Arial" w:hAnsi="Arial"/>
          <w:sz w:val="12"/>
          <w:szCs w:val="12"/>
          <w:b w:val="1"/>
          <w:bCs w:val="1"/>
          <w:color w:val="auto"/>
        </w:rPr>
        <w:t>2021</w:t>
      </w:r>
      <w:r>
        <w:rPr>
          <w:sz w:val="20"/>
          <w:szCs w:val="20"/>
          <w:color w:val="auto"/>
        </w:rPr>
        <w:tab/>
      </w:r>
      <w:r>
        <w:rPr>
          <w:rFonts w:ascii="Arial" w:cs="Arial" w:eastAsia="Arial" w:hAnsi="Arial"/>
          <w:sz w:val="12"/>
          <w:szCs w:val="12"/>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38100</wp:posOffset>
            </wp:positionV>
            <wp:extent cx="18770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877060" cy="8255"/>
                    </a:xfrm>
                    <a:prstGeom prst="rect">
                      <a:avLst/>
                    </a:prstGeom>
                    <a:noFill/>
                  </pic:spPr>
                </pic:pic>
              </a:graphicData>
            </a:graphic>
          </wp:anchor>
        </w:drawing>
      </w:r>
    </w:p>
    <w:p>
      <w:pPr>
        <w:spacing w:after="0" w:line="45"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auto"/>
        </w:rPr>
        <w:t>(dollars in thousands)</w:t>
      </w:r>
    </w:p>
    <w:p>
      <w:pPr>
        <w:spacing w:after="0" w:line="45" w:lineRule="exact"/>
        <w:rPr>
          <w:sz w:val="20"/>
          <w:szCs w:val="20"/>
          <w:color w:val="auto"/>
        </w:rPr>
      </w:pPr>
    </w:p>
    <w:p>
      <w:pPr>
        <w:sectPr>
          <w:pgSz w:w="11900" w:h="16838" w:orient="portrait"/>
          <w:cols w:equalWidth="0" w:num="2">
            <w:col w:w="8140" w:space="720"/>
            <w:col w:w="238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22"/>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5240" w:type="dxa"/>
            <w:vAlign w:val="bottom"/>
          </w:tcPr>
          <w:p>
            <w:pPr>
              <w:ind w:left="360"/>
              <w:spacing w:after="0"/>
              <w:rPr>
                <w:sz w:val="20"/>
                <w:szCs w:val="20"/>
                <w:color w:val="auto"/>
              </w:rPr>
            </w:pPr>
            <w:r>
              <w:rPr>
                <w:rFonts w:ascii="Arial" w:cs="Arial" w:eastAsia="Arial" w:hAnsi="Arial"/>
                <w:sz w:val="18"/>
                <w:szCs w:val="18"/>
                <w:color w:val="auto"/>
              </w:rPr>
              <w:t>Product revenue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7,360</w:t>
            </w:r>
          </w:p>
        </w:tc>
        <w:tc>
          <w:tcPr>
            <w:tcW w:w="1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2,290</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13,971</w:t>
            </w:r>
          </w:p>
        </w:tc>
        <w:tc>
          <w:tcPr>
            <w:tcW w:w="8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4,590</w:t>
            </w:r>
          </w:p>
        </w:tc>
      </w:tr>
      <w:tr>
        <w:trPr>
          <w:trHeight w:val="230"/>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Service revenue</w:t>
            </w: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1,991</w:t>
            </w:r>
          </w:p>
        </w:tc>
      </w:tr>
      <w:tr>
        <w:trPr>
          <w:trHeight w:val="223"/>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revenue</w:t>
            </w:r>
          </w:p>
        </w:tc>
        <w:tc>
          <w:tcPr>
            <w:tcW w:w="2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7,360</w:t>
            </w:r>
          </w:p>
        </w:tc>
        <w:tc>
          <w:tcPr>
            <w:tcW w:w="10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4,281</w:t>
            </w:r>
          </w:p>
        </w:tc>
        <w:tc>
          <w:tcPr>
            <w:tcW w:w="100" w:type="dxa"/>
            <w:vAlign w:val="bottom"/>
            <w:tcBorders>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13,971</w:t>
            </w:r>
          </w:p>
        </w:tc>
        <w:tc>
          <w:tcPr>
            <w:tcW w:w="80" w:type="dxa"/>
            <w:vAlign w:val="bottom"/>
            <w:tcBorders>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6,581</w:t>
            </w:r>
          </w:p>
        </w:tc>
      </w:tr>
      <w:tr>
        <w:trPr>
          <w:trHeight w:val="23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w:t>
            </w:r>
            <w:r>
              <w:rPr>
                <w:rFonts w:ascii="Arial" w:cs="Arial" w:eastAsia="Arial" w:hAnsi="Arial"/>
                <w:sz w:val="9"/>
                <w:szCs w:val="9"/>
                <w:color w:val="auto"/>
              </w:rPr>
              <w:t>(1)</w:t>
            </w:r>
          </w:p>
        </w:tc>
        <w:tc>
          <w:tcPr>
            <w:tcW w:w="2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43"/>
        </w:trPr>
        <w:tc>
          <w:tcPr>
            <w:tcW w:w="5240" w:type="dxa"/>
            <w:vAlign w:val="bottom"/>
          </w:tcPr>
          <w:p>
            <w:pPr>
              <w:ind w:left="360"/>
              <w:spacing w:after="0"/>
              <w:rPr>
                <w:sz w:val="20"/>
                <w:szCs w:val="20"/>
                <w:color w:val="auto"/>
              </w:rPr>
            </w:pPr>
            <w:r>
              <w:rPr>
                <w:rFonts w:ascii="Arial" w:cs="Arial" w:eastAsia="Arial" w:hAnsi="Arial"/>
                <w:sz w:val="18"/>
                <w:szCs w:val="18"/>
                <w:color w:val="auto"/>
              </w:rPr>
              <w:t xml:space="preserve">Cost of product revenue </w:t>
            </w:r>
            <w:r>
              <w:rPr>
                <w:rFonts w:ascii="Arial" w:cs="Arial" w:eastAsia="Arial" w:hAnsi="Arial"/>
                <w:sz w:val="9"/>
                <w:szCs w:val="9"/>
                <w:color w:val="auto"/>
              </w:rPr>
              <w:t>(1)</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5,465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3,862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10,333</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8,078</w:t>
            </w:r>
          </w:p>
        </w:tc>
      </w:tr>
      <w:tr>
        <w:trPr>
          <w:trHeight w:val="27"/>
        </w:trPr>
        <w:tc>
          <w:tcPr>
            <w:tcW w:w="5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0"/>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services</w:t>
            </w: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23"/>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cost of revenue</w:t>
            </w:r>
          </w:p>
        </w:tc>
        <w:tc>
          <w:tcPr>
            <w:tcW w:w="2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5,465</w:t>
            </w:r>
          </w:p>
        </w:tc>
        <w:tc>
          <w:tcPr>
            <w:tcW w:w="10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3,888</w:t>
            </w:r>
          </w:p>
        </w:tc>
        <w:tc>
          <w:tcPr>
            <w:tcW w:w="100" w:type="dxa"/>
            <w:vAlign w:val="bottom"/>
            <w:tcBorders>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10,333</w:t>
            </w:r>
          </w:p>
        </w:tc>
        <w:tc>
          <w:tcPr>
            <w:tcW w:w="80" w:type="dxa"/>
            <w:vAlign w:val="bottom"/>
            <w:tcBorders>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8,104</w:t>
            </w:r>
          </w:p>
        </w:tc>
      </w:tr>
      <w:tr>
        <w:trPr>
          <w:trHeight w:val="223"/>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 (loss)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3,638</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w:t>
            </w: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color w:val="auto"/>
              </w:rPr>
              <w:t xml:space="preserve">Operating expenses </w:t>
            </w:r>
            <w:r>
              <w:rPr>
                <w:rFonts w:ascii="Arial" w:cs="Arial" w:eastAsia="Arial" w:hAnsi="Arial"/>
                <w:sz w:val="9"/>
                <w:szCs w:val="9"/>
                <w:color w:val="auto"/>
              </w:rPr>
              <w:t>(1)</w:t>
            </w: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5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0"/>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11,186</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10,152</w:t>
            </w:r>
          </w:p>
        </w:tc>
      </w:tr>
      <w:tr>
        <w:trPr>
          <w:trHeight w:val="229"/>
        </w:trPr>
        <w:tc>
          <w:tcPr>
            <w:tcW w:w="5240" w:type="dxa"/>
            <w:vAlign w:val="bottom"/>
          </w:tcPr>
          <w:p>
            <w:pPr>
              <w:ind w:left="360"/>
              <w:spacing w:after="0"/>
              <w:rPr>
                <w:sz w:val="20"/>
                <w:szCs w:val="20"/>
                <w:color w:val="auto"/>
              </w:rPr>
            </w:pPr>
            <w:r>
              <w:rPr>
                <w:rFonts w:ascii="Arial" w:cs="Arial" w:eastAsia="Arial" w:hAnsi="Arial"/>
                <w:sz w:val="18"/>
                <w:szCs w:val="18"/>
                <w:color w:val="auto"/>
              </w:rPr>
              <w:t>Sales and marketing</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4,614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1,685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8,040</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3,911</w:t>
            </w:r>
          </w:p>
        </w:tc>
      </w:tr>
      <w:tr>
        <w:trPr>
          <w:trHeight w:val="230"/>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12,197</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22,104</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7,344</w:t>
            </w:r>
          </w:p>
        </w:tc>
      </w:tr>
      <w:tr>
        <w:trPr>
          <w:trHeight w:val="223"/>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23,285</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11,041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41,330</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21,407</w:t>
            </w:r>
          </w:p>
        </w:tc>
      </w:tr>
      <w:tr>
        <w:trPr>
          <w:trHeight w:val="223"/>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(21,390)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(37,692)</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(22,930)</w:t>
            </w: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Other (expense) income:</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524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(504)</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(1,675)</w:t>
            </w:r>
          </w:p>
        </w:tc>
      </w:tr>
      <w:tr>
        <w:trPr>
          <w:trHeight w:val="229"/>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 (expense), net</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(10,760)</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(14,912)</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(5,423)</w:t>
            </w:r>
          </w:p>
        </w:tc>
      </w:tr>
      <w:tr>
        <w:trPr>
          <w:trHeight w:val="223"/>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expense, net</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(10,621)</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(15,276)</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(7,075)</w:t>
            </w:r>
          </w:p>
        </w:tc>
      </w:tr>
      <w:tr>
        <w:trPr>
          <w:trHeight w:val="223"/>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(32,011)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(52,968)</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(30,005)</w:t>
            </w: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rPr>
              <w:t>Provision for income tax expense</w:t>
            </w:r>
          </w:p>
        </w:tc>
        <w:tc>
          <w:tcPr>
            <w:tcW w:w="20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5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and comprehensive loss</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(52,968)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(30,005)</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878"/>
        </w:trPr>
        <w:tc>
          <w:tcPr>
            <w:tcW w:w="5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jc w:val="right"/>
              <w:ind w:right="85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15"/>
        </w:trPr>
        <w:tc>
          <w:tcPr>
            <w:tcW w:w="5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following table sets forth the components of our condensed consolidated statements of operations and comprehensive loss data as a percentage of revenue for the periods presented: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00" w:type="dxa"/>
            <w:vAlign w:val="bottom"/>
          </w:tcPr>
          <w:p>
            <w:pPr>
              <w:spacing w:after="0"/>
              <w:rPr>
                <w:sz w:val="16"/>
                <w:szCs w:val="16"/>
                <w:color w:val="auto"/>
              </w:rPr>
            </w:pPr>
          </w:p>
        </w:tc>
        <w:tc>
          <w:tcPr>
            <w:tcW w:w="2540" w:type="dxa"/>
            <w:vAlign w:val="bottom"/>
            <w:tcBorders>
              <w:bottom w:val="single" w:sz="8" w:color="auto"/>
            </w:tcBorders>
            <w:gridSpan w:val="4"/>
          </w:tcPr>
          <w:p>
            <w:pPr>
              <w:ind w:left="640"/>
              <w:spacing w:after="0"/>
              <w:rPr>
                <w:sz w:val="20"/>
                <w:szCs w:val="20"/>
                <w:color w:val="auto"/>
              </w:rPr>
            </w:pPr>
            <w:r>
              <w:rPr>
                <w:rFonts w:ascii="Arial" w:cs="Arial" w:eastAsia="Arial" w:hAnsi="Arial"/>
                <w:sz w:val="14"/>
                <w:szCs w:val="14"/>
                <w:b w:val="1"/>
                <w:bCs w:val="1"/>
                <w:color w:val="auto"/>
                <w:w w:val="94"/>
              </w:rPr>
              <w:t>Three Months Ended June 30,</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1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Six Months Ended June 30,</w:t>
            </w:r>
          </w:p>
        </w:tc>
      </w:tr>
      <w:tr>
        <w:trPr>
          <w:trHeight w:val="187"/>
        </w:trPr>
        <w:tc>
          <w:tcPr>
            <w:tcW w:w="4900" w:type="dxa"/>
            <w:vAlign w:val="bottom"/>
          </w:tcPr>
          <w:p>
            <w:pPr>
              <w:spacing w:after="0"/>
              <w:rPr>
                <w:sz w:val="16"/>
                <w:szCs w:val="16"/>
                <w:color w:val="auto"/>
              </w:rPr>
            </w:pPr>
          </w:p>
        </w:tc>
        <w:tc>
          <w:tcPr>
            <w:tcW w:w="94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w w:val="96"/>
              </w:rPr>
              <w:t>2021</w:t>
            </w:r>
          </w:p>
        </w:tc>
        <w:tc>
          <w:tcPr>
            <w:tcW w:w="1600" w:type="dxa"/>
            <w:vAlign w:val="bottom"/>
            <w:tcBorders>
              <w:bottom w:val="single" w:sz="8" w:color="auto"/>
            </w:tcBorders>
            <w:gridSpan w:val="3"/>
          </w:tcPr>
          <w:p>
            <w:pPr>
              <w:ind w:left="1280"/>
              <w:spacing w:after="0"/>
              <w:rPr>
                <w:sz w:val="20"/>
                <w:szCs w:val="20"/>
                <w:color w:val="auto"/>
              </w:rPr>
            </w:pPr>
            <w:r>
              <w:rPr>
                <w:rFonts w:ascii="Arial" w:cs="Arial" w:eastAsia="Arial" w:hAnsi="Arial"/>
                <w:sz w:val="14"/>
                <w:szCs w:val="14"/>
                <w:b w:val="1"/>
                <w:bCs w:val="1"/>
                <w:color w:val="auto"/>
                <w:w w:val="96"/>
              </w:rPr>
              <w:t>2020</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w w:val="89"/>
              </w:rPr>
              <w:t>2020</w:t>
            </w:r>
          </w:p>
        </w:tc>
      </w:tr>
      <w:tr>
        <w:trPr>
          <w:trHeight w:val="183"/>
        </w:trPr>
        <w:tc>
          <w:tcPr>
            <w:tcW w:w="49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0" w:type="dxa"/>
            <w:vAlign w:val="bottom"/>
            <w:gridSpan w:val="3"/>
          </w:tcPr>
          <w:p>
            <w:pPr>
              <w:ind w:left="20"/>
              <w:spacing w:after="0"/>
              <w:rPr>
                <w:sz w:val="20"/>
                <w:szCs w:val="20"/>
                <w:color w:val="auto"/>
              </w:rPr>
            </w:pPr>
            <w:r>
              <w:rPr>
                <w:rFonts w:ascii="Arial" w:cs="Arial" w:eastAsia="Arial" w:hAnsi="Arial"/>
                <w:sz w:val="14"/>
                <w:szCs w:val="14"/>
                <w:b w:val="1"/>
                <w:bCs w:val="1"/>
                <w:color w:val="auto"/>
              </w:rPr>
              <w:t>(% of total revenue)</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0" w:type="dxa"/>
            <w:vAlign w:val="bottom"/>
            <w:gridSpan w:val="3"/>
          </w:tcPr>
          <w:p>
            <w:pPr>
              <w:jc w:val="center"/>
              <w:ind w:left="832"/>
              <w:spacing w:after="0"/>
              <w:rPr>
                <w:sz w:val="20"/>
                <w:szCs w:val="20"/>
                <w:color w:val="auto"/>
              </w:rPr>
            </w:pPr>
            <w:r>
              <w:rPr>
                <w:rFonts w:ascii="Arial" w:cs="Arial" w:eastAsia="Arial" w:hAnsi="Arial"/>
                <w:sz w:val="14"/>
                <w:szCs w:val="14"/>
                <w:b w:val="1"/>
                <w:bCs w:val="1"/>
                <w:color w:val="auto"/>
                <w:w w:val="95"/>
              </w:rPr>
              <w:t>(% of total revenue)</w:t>
            </w:r>
          </w:p>
        </w:tc>
        <w:tc>
          <w:tcPr>
            <w:tcW w:w="920" w:type="dxa"/>
            <w:vAlign w:val="bottom"/>
          </w:tcPr>
          <w:p>
            <w:pPr>
              <w:spacing w:after="0"/>
              <w:rPr>
                <w:sz w:val="15"/>
                <w:szCs w:val="15"/>
                <w:color w:val="auto"/>
              </w:rPr>
            </w:pPr>
          </w:p>
        </w:tc>
      </w:tr>
      <w:tr>
        <w:trPr>
          <w:trHeight w:val="231"/>
        </w:trPr>
        <w:tc>
          <w:tcPr>
            <w:tcW w:w="5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29"/>
        </w:trPr>
        <w:tc>
          <w:tcPr>
            <w:tcW w:w="5840" w:type="dxa"/>
            <w:vAlign w:val="bottom"/>
            <w:gridSpan w:val="2"/>
          </w:tcPr>
          <w:p>
            <w:pPr>
              <w:ind w:left="240"/>
              <w:spacing w:after="0"/>
              <w:rPr>
                <w:sz w:val="20"/>
                <w:szCs w:val="20"/>
                <w:color w:val="auto"/>
              </w:rPr>
            </w:pPr>
            <w:r>
              <w:rPr>
                <w:rFonts w:ascii="Arial" w:cs="Arial" w:eastAsia="Arial" w:hAnsi="Arial"/>
                <w:sz w:val="18"/>
                <w:szCs w:val="18"/>
                <w:color w:val="auto"/>
              </w:rPr>
              <w:t>Product revenue</w:t>
            </w:r>
          </w:p>
        </w:tc>
        <w:tc>
          <w:tcPr>
            <w:tcW w:w="580" w:type="dxa"/>
            <w:vAlign w:val="bottom"/>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53 %</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100 %</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70 %</w:t>
            </w:r>
          </w:p>
        </w:tc>
      </w:tr>
      <w:tr>
        <w:trPr>
          <w:trHeight w:val="229"/>
        </w:trPr>
        <w:tc>
          <w:tcPr>
            <w:tcW w:w="58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Service revenue</w:t>
            </w:r>
          </w:p>
        </w:tc>
        <w:tc>
          <w:tcPr>
            <w:tcW w:w="160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2200" w:type="dxa"/>
            <w:vAlign w:val="bottom"/>
            <w:gridSpan w:val="3"/>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30</w:t>
            </w:r>
          </w:p>
        </w:tc>
      </w:tr>
      <w:tr>
        <w:trPr>
          <w:trHeight w:val="223"/>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revenue</w:t>
            </w:r>
          </w:p>
        </w:tc>
        <w:tc>
          <w:tcPr>
            <w:tcW w:w="94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color w:val="auto"/>
              </w:rPr>
              <w:t>100</w:t>
            </w:r>
          </w:p>
        </w:tc>
        <w:tc>
          <w:tcPr>
            <w:tcW w:w="80" w:type="dxa"/>
            <w:vAlign w:val="bottom"/>
            <w:tcBorders>
              <w:bottom w:val="single" w:sz="8" w:color="CCEEFF"/>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color w:val="auto"/>
              </w:rPr>
              <w:t>100</w:t>
            </w:r>
          </w:p>
        </w:tc>
      </w:tr>
      <w:tr>
        <w:trPr>
          <w:trHeight w:val="209"/>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Cost of revenue </w:t>
            </w:r>
            <w:r>
              <w:rPr>
                <w:rFonts w:ascii="Arial" w:cs="Arial" w:eastAsia="Arial" w:hAnsi="Arial"/>
                <w:sz w:val="9"/>
                <w:szCs w:val="9"/>
                <w:color w:val="auto"/>
              </w:rPr>
              <w:t>(1)</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43"/>
        </w:trPr>
        <w:tc>
          <w:tcPr>
            <w:tcW w:w="5840" w:type="dxa"/>
            <w:vAlign w:val="bottom"/>
            <w:gridSpan w:val="2"/>
          </w:tcPr>
          <w:p>
            <w:pPr>
              <w:ind w:left="240"/>
              <w:spacing w:after="0"/>
              <w:rPr>
                <w:sz w:val="20"/>
                <w:szCs w:val="20"/>
                <w:color w:val="auto"/>
              </w:rPr>
            </w:pPr>
            <w:r>
              <w:rPr>
                <w:rFonts w:ascii="Arial" w:cs="Arial" w:eastAsia="Arial" w:hAnsi="Arial"/>
                <w:sz w:val="18"/>
                <w:szCs w:val="18"/>
                <w:color w:val="auto"/>
              </w:rPr>
              <w:t>Cost of product</w:t>
            </w:r>
          </w:p>
        </w:tc>
        <w:tc>
          <w:tcPr>
            <w:tcW w:w="580" w:type="dxa"/>
            <w:vAlign w:val="bottom"/>
          </w:tcPr>
          <w:p>
            <w:pPr>
              <w:jc w:val="right"/>
              <w:ind w:right="132"/>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1520" w:type="dxa"/>
            <w:vAlign w:val="bottom"/>
          </w:tcPr>
          <w:p>
            <w:pPr>
              <w:jc w:val="right"/>
              <w:ind w:right="132"/>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jc w:val="right"/>
              <w:ind w:right="131"/>
              <w:spacing w:after="0"/>
              <w:rPr>
                <w:sz w:val="20"/>
                <w:szCs w:val="20"/>
                <w:color w:val="auto"/>
              </w:rPr>
            </w:pPr>
            <w:r>
              <w:rPr>
                <w:rFonts w:ascii="Arial" w:cs="Arial" w:eastAsia="Arial" w:hAnsi="Arial"/>
                <w:sz w:val="18"/>
                <w:szCs w:val="18"/>
                <w:color w:val="auto"/>
              </w:rPr>
              <w:t>123</w:t>
            </w:r>
          </w:p>
        </w:tc>
      </w:tr>
      <w:tr>
        <w:trPr>
          <w:trHeight w:val="27"/>
        </w:trPr>
        <w:tc>
          <w:tcPr>
            <w:tcW w:w="49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0"/>
        </w:trPr>
        <w:tc>
          <w:tcPr>
            <w:tcW w:w="58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Cost of services</w:t>
            </w:r>
          </w:p>
        </w:tc>
        <w:tc>
          <w:tcPr>
            <w:tcW w:w="160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200" w:type="dxa"/>
            <w:vAlign w:val="bottom"/>
            <w:gridSpan w:val="3"/>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r>
      <w:tr>
        <w:trPr>
          <w:trHeight w:val="223"/>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cost of revenue</w:t>
            </w:r>
          </w:p>
        </w:tc>
        <w:tc>
          <w:tcPr>
            <w:tcW w:w="94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color w:val="auto"/>
              </w:rPr>
              <w:t>74</w:t>
            </w:r>
          </w:p>
        </w:tc>
        <w:tc>
          <w:tcPr>
            <w:tcW w:w="80" w:type="dxa"/>
            <w:vAlign w:val="bottom"/>
            <w:tcBorders>
              <w:bottom w:val="single" w:sz="8" w:color="CCEEFF"/>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color w:val="auto"/>
              </w:rPr>
              <w:t>123</w:t>
            </w:r>
          </w:p>
        </w:tc>
      </w:tr>
      <w:tr>
        <w:trPr>
          <w:trHeight w:val="223"/>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 (loss)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(23)</w:t>
            </w:r>
          </w:p>
        </w:tc>
      </w:tr>
      <w:tr>
        <w:trPr>
          <w:trHeight w:val="243"/>
        </w:trPr>
        <w:tc>
          <w:tcPr>
            <w:tcW w:w="5840" w:type="dxa"/>
            <w:vAlign w:val="bottom"/>
            <w:gridSpan w:val="2"/>
          </w:tcPr>
          <w:p>
            <w:pPr>
              <w:ind w:left="20"/>
              <w:spacing w:after="0"/>
              <w:rPr>
                <w:sz w:val="20"/>
                <w:szCs w:val="20"/>
                <w:color w:val="auto"/>
              </w:rPr>
            </w:pPr>
            <w:r>
              <w:rPr>
                <w:rFonts w:ascii="Arial" w:cs="Arial" w:eastAsia="Arial" w:hAnsi="Arial"/>
                <w:sz w:val="18"/>
                <w:szCs w:val="18"/>
                <w:color w:val="auto"/>
              </w:rPr>
              <w:t xml:space="preserve">Operating expenses </w:t>
            </w:r>
            <w:r>
              <w:rPr>
                <w:rFonts w:ascii="Arial" w:cs="Arial" w:eastAsia="Arial" w:hAnsi="Arial"/>
                <w:sz w:val="9"/>
                <w:szCs w:val="9"/>
                <w:color w:val="auto"/>
              </w:rPr>
              <w:t>(1)</w:t>
            </w: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49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9"/>
        </w:trPr>
        <w:tc>
          <w:tcPr>
            <w:tcW w:w="58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Research and development</w:t>
            </w:r>
          </w:p>
        </w:tc>
        <w:tc>
          <w:tcPr>
            <w:tcW w:w="5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80</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154</w:t>
            </w:r>
          </w:p>
        </w:tc>
      </w:tr>
      <w:tr>
        <w:trPr>
          <w:trHeight w:val="230"/>
        </w:trPr>
        <w:tc>
          <w:tcPr>
            <w:tcW w:w="5840" w:type="dxa"/>
            <w:vAlign w:val="bottom"/>
            <w:gridSpan w:val="2"/>
          </w:tcPr>
          <w:p>
            <w:pPr>
              <w:ind w:left="240"/>
              <w:spacing w:after="0"/>
              <w:rPr>
                <w:sz w:val="20"/>
                <w:szCs w:val="20"/>
                <w:color w:val="auto"/>
              </w:rPr>
            </w:pPr>
            <w:r>
              <w:rPr>
                <w:rFonts w:ascii="Arial" w:cs="Arial" w:eastAsia="Arial" w:hAnsi="Arial"/>
                <w:sz w:val="18"/>
                <w:szCs w:val="18"/>
                <w:color w:val="auto"/>
              </w:rPr>
              <w:t>Sales and marketing</w:t>
            </w:r>
          </w:p>
        </w:tc>
        <w:tc>
          <w:tcPr>
            <w:tcW w:w="580" w:type="dxa"/>
            <w:vAlign w:val="bottom"/>
          </w:tcPr>
          <w:p>
            <w:pPr>
              <w:jc w:val="right"/>
              <w:ind w:right="132"/>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1520" w:type="dxa"/>
            <w:vAlign w:val="bottom"/>
          </w:tcPr>
          <w:p>
            <w:pPr>
              <w:jc w:val="right"/>
              <w:ind w:right="132"/>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jc w:val="right"/>
              <w:ind w:right="131"/>
              <w:spacing w:after="0"/>
              <w:rPr>
                <w:sz w:val="20"/>
                <w:szCs w:val="20"/>
                <w:color w:val="auto"/>
              </w:rPr>
            </w:pPr>
            <w:r>
              <w:rPr>
                <w:rFonts w:ascii="Arial" w:cs="Arial" w:eastAsia="Arial" w:hAnsi="Arial"/>
                <w:sz w:val="18"/>
                <w:szCs w:val="18"/>
                <w:color w:val="auto"/>
              </w:rPr>
              <w:t>59</w:t>
            </w:r>
          </w:p>
        </w:tc>
      </w:tr>
      <w:tr>
        <w:trPr>
          <w:trHeight w:val="229"/>
        </w:trPr>
        <w:tc>
          <w:tcPr>
            <w:tcW w:w="58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General and administrative</w:t>
            </w:r>
          </w:p>
        </w:tc>
        <w:tc>
          <w:tcPr>
            <w:tcW w:w="5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158</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112</w:t>
            </w:r>
          </w:p>
        </w:tc>
      </w:tr>
      <w:tr>
        <w:trPr>
          <w:trHeight w:val="223"/>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94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CCEEFF"/>
            </w:tcBorders>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CCEEFF"/>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color w:val="auto"/>
              </w:rPr>
              <w:t>296</w:t>
            </w:r>
          </w:p>
        </w:tc>
        <w:tc>
          <w:tcPr>
            <w:tcW w:w="80" w:type="dxa"/>
            <w:vAlign w:val="bottom"/>
            <w:tcBorders>
              <w:bottom w:val="single" w:sz="8" w:color="CCEEFF"/>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color w:val="auto"/>
              </w:rPr>
              <w:t>325</w:t>
            </w:r>
          </w:p>
        </w:tc>
      </w:tr>
      <w:tr>
        <w:trPr>
          <w:trHeight w:val="223"/>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(291)</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5"/>
              </w:rPr>
              <w:t>(249)</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(270)</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(348)</w:t>
            </w:r>
          </w:p>
        </w:tc>
      </w:tr>
      <w:tr>
        <w:trPr>
          <w:trHeight w:val="229"/>
        </w:trPr>
        <w:tc>
          <w:tcPr>
            <w:tcW w:w="5840" w:type="dxa"/>
            <w:vAlign w:val="bottom"/>
            <w:gridSpan w:val="2"/>
          </w:tcPr>
          <w:p>
            <w:pPr>
              <w:ind w:left="20"/>
              <w:spacing w:after="0"/>
              <w:rPr>
                <w:sz w:val="20"/>
                <w:szCs w:val="20"/>
                <w:color w:val="auto"/>
              </w:rPr>
            </w:pPr>
            <w:r>
              <w:rPr>
                <w:rFonts w:ascii="Arial" w:cs="Arial" w:eastAsia="Arial" w:hAnsi="Arial"/>
                <w:sz w:val="18"/>
                <w:szCs w:val="18"/>
                <w:color w:val="auto"/>
              </w:rPr>
              <w:t>Other (expense) income:</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5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5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r>
      <w:tr>
        <w:trPr>
          <w:trHeight w:val="229"/>
        </w:trPr>
        <w:tc>
          <w:tcPr>
            <w:tcW w:w="5840" w:type="dxa"/>
            <w:vAlign w:val="bottom"/>
            <w:gridSpan w:val="2"/>
          </w:tcPr>
          <w:p>
            <w:pPr>
              <w:ind w:left="360"/>
              <w:spacing w:after="0"/>
              <w:rPr>
                <w:sz w:val="20"/>
                <w:szCs w:val="20"/>
                <w:color w:val="auto"/>
              </w:rPr>
            </w:pPr>
            <w:r>
              <w:rPr>
                <w:rFonts w:ascii="Arial" w:cs="Arial" w:eastAsia="Arial" w:hAnsi="Arial"/>
                <w:sz w:val="18"/>
                <w:szCs w:val="18"/>
                <w:color w:val="auto"/>
              </w:rPr>
              <w:t>Interest expense</w:t>
            </w:r>
          </w:p>
        </w:tc>
        <w:tc>
          <w:tcPr>
            <w:tcW w:w="1600" w:type="dxa"/>
            <w:vAlign w:val="bottom"/>
            <w:gridSpan w:val="3"/>
          </w:tcPr>
          <w:p>
            <w:pPr>
              <w:jc w:val="right"/>
              <w:ind w:right="124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7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520" w:type="dxa"/>
            <w:vAlign w:val="bottom"/>
          </w:tcPr>
          <w:p>
            <w:pPr>
              <w:jc w:val="right"/>
              <w:ind w:right="92"/>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(25)</w:t>
            </w:r>
          </w:p>
        </w:tc>
      </w:tr>
      <w:tr>
        <w:trPr>
          <w:trHeight w:val="230"/>
        </w:trPr>
        <w:tc>
          <w:tcPr>
            <w:tcW w:w="5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income (expense), net</w:t>
            </w:r>
          </w:p>
        </w:tc>
        <w:tc>
          <w:tcPr>
            <w:tcW w:w="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(107)</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(82)</w:t>
            </w:r>
          </w:p>
        </w:tc>
      </w:tr>
      <w:tr>
        <w:trPr>
          <w:trHeight w:val="223"/>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expense, net</w:t>
            </w:r>
          </w:p>
        </w:tc>
        <w:tc>
          <w:tcPr>
            <w:tcW w:w="94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rPr>
              <w:t>(109)</w:t>
            </w:r>
          </w:p>
        </w:tc>
        <w:tc>
          <w:tcPr>
            <w:tcW w:w="80" w:type="dxa"/>
            <w:vAlign w:val="bottom"/>
            <w:tcBorders>
              <w:bottom w:val="single" w:sz="8" w:color="CCEEFF"/>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(108)</w:t>
            </w:r>
          </w:p>
        </w:tc>
      </w:tr>
      <w:tr>
        <w:trPr>
          <w:trHeight w:val="223"/>
        </w:trPr>
        <w:tc>
          <w:tcPr>
            <w:tcW w:w="49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Loss before income taxes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(435)</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5"/>
              </w:rPr>
              <w:t>(264)</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(379)</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(456)</w:t>
            </w:r>
          </w:p>
        </w:tc>
      </w:tr>
      <w:tr>
        <w:trPr>
          <w:trHeight w:val="230"/>
        </w:trPr>
        <w:tc>
          <w:tcPr>
            <w:tcW w:w="5840" w:type="dxa"/>
            <w:vAlign w:val="bottom"/>
            <w:gridSpan w:val="2"/>
          </w:tcPr>
          <w:p>
            <w:pPr>
              <w:ind w:left="20"/>
              <w:spacing w:after="0"/>
              <w:rPr>
                <w:sz w:val="20"/>
                <w:szCs w:val="20"/>
                <w:color w:val="auto"/>
              </w:rPr>
            </w:pPr>
            <w:r>
              <w:rPr>
                <w:rFonts w:ascii="Arial" w:cs="Arial" w:eastAsia="Arial" w:hAnsi="Arial"/>
                <w:sz w:val="18"/>
                <w:szCs w:val="18"/>
                <w:color w:val="auto"/>
              </w:rPr>
              <w:t>Provision for income tax expense</w:t>
            </w:r>
          </w:p>
        </w:tc>
        <w:tc>
          <w:tcPr>
            <w:tcW w:w="1600" w:type="dxa"/>
            <w:vAlign w:val="bottom"/>
            <w:gridSpan w:val="3"/>
          </w:tcPr>
          <w:p>
            <w:pPr>
              <w:jc w:val="right"/>
              <w:ind w:right="12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0" w:type="dxa"/>
            <w:vAlign w:val="bottom"/>
            <w:gridSpan w:val="3"/>
          </w:tcPr>
          <w:p>
            <w:pPr>
              <w:jc w:val="right"/>
              <w:ind w:right="90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1"/>
              <w:spacing w:after="0"/>
              <w:rPr>
                <w:sz w:val="20"/>
                <w:szCs w:val="20"/>
                <w:color w:val="auto"/>
              </w:rPr>
            </w:pPr>
            <w:r>
              <w:rPr>
                <w:rFonts w:ascii="Arial" w:cs="Arial" w:eastAsia="Arial" w:hAnsi="Arial"/>
                <w:sz w:val="18"/>
                <w:szCs w:val="18"/>
                <w:color w:val="auto"/>
              </w:rPr>
              <w:t>—</w:t>
            </w:r>
          </w:p>
        </w:tc>
      </w:tr>
      <w:tr>
        <w:trPr>
          <w:trHeight w:val="248"/>
        </w:trPr>
        <w:tc>
          <w:tcPr>
            <w:tcW w:w="4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and comprehensive loss</w:t>
            </w:r>
          </w:p>
        </w:tc>
        <w:tc>
          <w:tcPr>
            <w:tcW w:w="940" w:type="dxa"/>
            <w:vAlign w:val="bottom"/>
            <w:tcBorders>
              <w:top w:val="single" w:sz="8" w:color="auto"/>
              <w:bottom w:val="single" w:sz="8" w:color="auto"/>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2"/>
              </w:rPr>
              <w:t>(435)%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(1) Includes stock-based compensation expense as follows:</w:t>
      </w:r>
    </w:p>
    <w:p>
      <w:pPr>
        <w:sectPr>
          <w:pgSz w:w="11900" w:h="16838" w:orient="portrait"/>
          <w:cols w:equalWidth="0" w:num="1">
            <w:col w:w="11240"/>
          </w:cols>
          <w:pgMar w:left="320" w:top="125" w:right="339" w:bottom="1440" w:gutter="0" w:footer="0" w:header="0"/>
        </w:sectPr>
      </w:pPr>
    </w:p>
    <w:p>
      <w:pPr>
        <w:spacing w:after="0" w:line="257" w:lineRule="exact"/>
        <w:rPr>
          <w:sz w:val="20"/>
          <w:szCs w:val="20"/>
          <w:color w:val="auto"/>
        </w:rPr>
      </w:pPr>
    </w:p>
    <w:p>
      <w:pPr>
        <w:ind w:left="5800"/>
        <w:spacing w:after="0"/>
        <w:rPr>
          <w:sz w:val="20"/>
          <w:szCs w:val="20"/>
          <w:color w:val="auto"/>
        </w:rPr>
      </w:pPr>
      <w:r>
        <w:rPr>
          <w:rFonts w:ascii="Arial" w:cs="Arial" w:eastAsia="Arial" w:hAnsi="Arial"/>
          <w:sz w:val="13"/>
          <w:szCs w:val="13"/>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31115</wp:posOffset>
            </wp:positionV>
            <wp:extent cx="185991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859915" cy="8890"/>
                    </a:xfrm>
                    <a:prstGeom prst="rect">
                      <a:avLst/>
                    </a:prstGeom>
                    <a:noFill/>
                  </pic:spPr>
                </pic:pic>
              </a:graphicData>
            </a:graphic>
          </wp:anchor>
        </w:drawing>
      </w:r>
    </w:p>
    <w:p>
      <w:pPr>
        <w:spacing w:after="0" w:line="33" w:lineRule="exact"/>
        <w:rPr>
          <w:sz w:val="20"/>
          <w:szCs w:val="20"/>
          <w:color w:val="auto"/>
        </w:rPr>
      </w:pPr>
    </w:p>
    <w:p>
      <w:pPr>
        <w:ind w:left="5820"/>
        <w:spacing w:after="0"/>
        <w:tabs>
          <w:tab w:leader="none" w:pos="732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23495</wp:posOffset>
            </wp:positionV>
            <wp:extent cx="185991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859915" cy="8890"/>
                    </a:xfrm>
                    <a:prstGeom prst="rect">
                      <a:avLst/>
                    </a:prstGeom>
                    <a:noFill/>
                  </pic:spPr>
                </pic:pic>
              </a:graphicData>
            </a:graphic>
          </wp:anchor>
        </w:drawing>
      </w:r>
    </w:p>
    <w:p>
      <w:pPr>
        <w:spacing w:after="0" w:line="22" w:lineRule="exact"/>
        <w:rPr>
          <w:sz w:val="20"/>
          <w:szCs w:val="20"/>
          <w:color w:val="auto"/>
        </w:rPr>
      </w:pPr>
    </w:p>
    <w:p>
      <w:pPr>
        <w:ind w:left="6060"/>
        <w:spacing w:after="0"/>
        <w:rPr>
          <w:sz w:val="20"/>
          <w:szCs w:val="20"/>
          <w:color w:val="auto"/>
        </w:rPr>
      </w:pPr>
      <w:r>
        <w:rPr>
          <w:rFonts w:ascii="Arial" w:cs="Arial" w:eastAsia="Arial" w:hAnsi="Arial"/>
          <w:sz w:val="14"/>
          <w:szCs w:val="14"/>
          <w:b w:val="1"/>
          <w:bCs w:val="1"/>
          <w:color w:val="auto"/>
        </w:rPr>
        <w:t>(dollars in thousands)</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jc w:val="center"/>
        <w:ind w:right="580"/>
        <w:spacing w:after="0"/>
        <w:rPr>
          <w:sz w:val="20"/>
          <w:szCs w:val="20"/>
          <w:color w:val="auto"/>
        </w:rPr>
      </w:pPr>
      <w:r>
        <w:rPr>
          <w:rFonts w:ascii="Arial" w:cs="Arial" w:eastAsia="Arial" w:hAnsi="Arial"/>
          <w:sz w:val="13"/>
          <w:szCs w:val="13"/>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31115</wp:posOffset>
            </wp:positionV>
            <wp:extent cx="187706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877060" cy="8890"/>
                    </a:xfrm>
                    <a:prstGeom prst="rect">
                      <a:avLst/>
                    </a:prstGeom>
                    <a:noFill/>
                  </pic:spPr>
                </pic:pic>
              </a:graphicData>
            </a:graphic>
          </wp:anchor>
        </w:drawing>
      </w:r>
    </w:p>
    <w:p>
      <w:pPr>
        <w:spacing w:after="0" w:line="33" w:lineRule="exact"/>
        <w:rPr>
          <w:sz w:val="20"/>
          <w:szCs w:val="20"/>
          <w:color w:val="auto"/>
        </w:rPr>
      </w:pPr>
    </w:p>
    <w:p>
      <w:pPr>
        <w:spacing w:after="0"/>
        <w:tabs>
          <w:tab w:leader="none" w:pos="1500" w:val="left"/>
        </w:tabs>
        <w:rPr>
          <w:sz w:val="20"/>
          <w:szCs w:val="20"/>
          <w:color w:val="auto"/>
        </w:rPr>
      </w:pPr>
      <w:r>
        <w:rPr>
          <w:rFonts w:ascii="Arial" w:cs="Arial" w:eastAsia="Arial" w:hAnsi="Arial"/>
          <w:sz w:val="12"/>
          <w:szCs w:val="12"/>
          <w:b w:val="1"/>
          <w:bCs w:val="1"/>
          <w:color w:val="auto"/>
        </w:rPr>
        <w:t>2021</w:t>
      </w:r>
      <w:r>
        <w:rPr>
          <w:sz w:val="20"/>
          <w:szCs w:val="20"/>
          <w:color w:val="auto"/>
        </w:rPr>
        <w:tab/>
      </w:r>
      <w:r>
        <w:rPr>
          <w:rFonts w:ascii="Arial" w:cs="Arial" w:eastAsia="Arial" w:hAnsi="Arial"/>
          <w:sz w:val="12"/>
          <w:szCs w:val="12"/>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38100</wp:posOffset>
            </wp:positionV>
            <wp:extent cx="187706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877060" cy="8890"/>
                    </a:xfrm>
                    <a:prstGeom prst="rect">
                      <a:avLst/>
                    </a:prstGeom>
                    <a:noFill/>
                  </pic:spPr>
                </pic:pic>
              </a:graphicData>
            </a:graphic>
          </wp:anchor>
        </w:drawing>
      </w:r>
    </w:p>
    <w:p>
      <w:pPr>
        <w:spacing w:after="0" w:line="45"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auto"/>
        </w:rPr>
        <w:t>(dollars in thousands)</w:t>
      </w:r>
    </w:p>
    <w:p>
      <w:pPr>
        <w:spacing w:after="0" w:line="25" w:lineRule="exact"/>
        <w:rPr>
          <w:sz w:val="20"/>
          <w:szCs w:val="20"/>
          <w:color w:val="auto"/>
        </w:rPr>
      </w:pPr>
    </w:p>
    <w:p>
      <w:pPr>
        <w:sectPr>
          <w:pgSz w:w="11900" w:h="16838" w:orient="portrait"/>
          <w:cols w:equalWidth="0" w:num="2">
            <w:col w:w="8140" w:space="720"/>
            <w:col w:w="238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195"/>
        </w:trPr>
        <w:tc>
          <w:tcPr>
            <w:tcW w:w="5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Cost of revenue</w:t>
            </w:r>
          </w:p>
        </w:tc>
        <w:tc>
          <w:tcPr>
            <w:tcW w:w="560" w:type="dxa"/>
            <w:vAlign w:val="bottom"/>
            <w:tcBorders>
              <w:top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w:t>
            </w: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jc w:val="right"/>
              <w:ind w:right="44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10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251</w:t>
            </w:r>
          </w:p>
        </w:tc>
        <w:tc>
          <w:tcPr>
            <w:tcW w:w="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w:t>
            </w:r>
          </w:p>
        </w:tc>
      </w:tr>
      <w:tr>
        <w:trPr>
          <w:trHeight w:val="190"/>
        </w:trPr>
        <w:tc>
          <w:tcPr>
            <w:tcW w:w="5260" w:type="dxa"/>
            <w:vAlign w:val="bottom"/>
          </w:tcPr>
          <w:p>
            <w:pPr>
              <w:ind w:left="20"/>
              <w:spacing w:after="0"/>
              <w:rPr>
                <w:sz w:val="20"/>
                <w:szCs w:val="20"/>
                <w:color w:val="auto"/>
              </w:rPr>
            </w:pPr>
            <w:r>
              <w:rPr>
                <w:rFonts w:ascii="Arial" w:cs="Arial" w:eastAsia="Arial" w:hAnsi="Arial"/>
                <w:sz w:val="14"/>
                <w:szCs w:val="14"/>
                <w:color w:val="auto"/>
              </w:rPr>
              <w:t>Research and development</w:t>
            </w:r>
          </w:p>
        </w:tc>
        <w:tc>
          <w:tcPr>
            <w:tcW w:w="5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1,321</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152</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2,242</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287</w:t>
            </w:r>
          </w:p>
        </w:tc>
      </w:tr>
      <w:tr>
        <w:trPr>
          <w:trHeight w:val="25"/>
        </w:trPr>
        <w:tc>
          <w:tcPr>
            <w:tcW w:w="5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89"/>
        </w:trPr>
        <w:tc>
          <w:tcPr>
            <w:tcW w:w="5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Sales and marketing</w:t>
            </w:r>
          </w:p>
        </w:tc>
        <w:tc>
          <w:tcPr>
            <w:tcW w:w="5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719</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985</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w:t>
            </w:r>
          </w:p>
        </w:tc>
      </w:tr>
      <w:tr>
        <w:trPr>
          <w:trHeight w:val="186"/>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General and administrative</w:t>
            </w:r>
          </w:p>
        </w:tc>
        <w:tc>
          <w:tcPr>
            <w:tcW w:w="5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3,981</w:t>
            </w: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210</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7,932</w:t>
            </w:r>
          </w:p>
        </w:tc>
        <w:tc>
          <w:tcPr>
            <w:tcW w:w="8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158</w:t>
            </w:r>
          </w:p>
        </w:tc>
      </w:tr>
      <w:tr>
        <w:trPr>
          <w:trHeight w:val="208"/>
        </w:trPr>
        <w:tc>
          <w:tcPr>
            <w:tcW w:w="52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Total stock-based compensation</w:t>
            </w:r>
          </w:p>
        </w:tc>
        <w:tc>
          <w:tcPr>
            <w:tcW w:w="560" w:type="dxa"/>
            <w:vAlign w:val="bottom"/>
            <w:tcBorders>
              <w:bottom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6,154</w:t>
            </w: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44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460</w:t>
            </w:r>
          </w:p>
        </w:tc>
        <w:tc>
          <w:tcPr>
            <w:tcW w:w="1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11,410</w:t>
            </w:r>
          </w:p>
        </w:tc>
        <w:tc>
          <w:tcPr>
            <w:tcW w:w="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635</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June 30, 2021 and 2020</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80" w:type="dxa"/>
            <w:vAlign w:val="bottom"/>
          </w:tcPr>
          <w:p>
            <w:pPr>
              <w:spacing w:after="0"/>
              <w:rPr>
                <w:sz w:val="16"/>
                <w:szCs w:val="16"/>
                <w:color w:val="auto"/>
              </w:rPr>
            </w:pPr>
          </w:p>
        </w:tc>
        <w:tc>
          <w:tcPr>
            <w:tcW w:w="3000" w:type="dxa"/>
            <w:vAlign w:val="bottom"/>
            <w:gridSpan w:val="6"/>
          </w:tcPr>
          <w:p>
            <w:pPr>
              <w:ind w:left="52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6"/>
                <w:szCs w:val="16"/>
                <w:color w:val="auto"/>
              </w:rPr>
            </w:pPr>
          </w:p>
        </w:tc>
        <w:tc>
          <w:tcPr>
            <w:tcW w:w="1220" w:type="dxa"/>
            <w:vAlign w:val="bottom"/>
            <w:gridSpan w:val="2"/>
          </w:tcPr>
          <w:p>
            <w:pPr>
              <w:ind w:left="180"/>
              <w:spacing w:after="0"/>
              <w:rPr>
                <w:sz w:val="20"/>
                <w:szCs w:val="20"/>
                <w:color w:val="auto"/>
              </w:rPr>
            </w:pPr>
            <w:r>
              <w:rPr>
                <w:rFonts w:ascii="Arial" w:cs="Arial" w:eastAsia="Arial" w:hAnsi="Arial"/>
                <w:sz w:val="14"/>
                <w:szCs w:val="14"/>
                <w:b w:val="1"/>
                <w:bCs w:val="1"/>
                <w:color w:val="auto"/>
              </w:rPr>
              <w:t>Change</w:t>
            </w:r>
          </w:p>
        </w:tc>
        <w:tc>
          <w:tcPr>
            <w:tcW w:w="1560" w:type="dxa"/>
            <w:vAlign w:val="bottom"/>
          </w:tcPr>
          <w:p>
            <w:pPr>
              <w:jc w:val="right"/>
              <w:ind w:right="454"/>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7"/>
        </w:trPr>
        <w:tc>
          <w:tcPr>
            <w:tcW w:w="5180" w:type="dxa"/>
            <w:vAlign w:val="bottom"/>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spacing w:after="0"/>
              <w:rPr>
                <w:sz w:val="16"/>
                <w:szCs w:val="16"/>
                <w:color w:val="auto"/>
              </w:rPr>
            </w:pPr>
          </w:p>
        </w:tc>
        <w:tc>
          <w:tcPr>
            <w:tcW w:w="1560" w:type="dxa"/>
            <w:vAlign w:val="bottom"/>
            <w:tcBorders>
              <w:top w:val="single" w:sz="8" w:color="auto"/>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1"/>
        </w:trPr>
        <w:tc>
          <w:tcPr>
            <w:tcW w:w="5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60" w:type="dxa"/>
            <w:vAlign w:val="bottom"/>
            <w:gridSpan w:val="5"/>
          </w:tcPr>
          <w:p>
            <w:pPr>
              <w:ind w:left="520"/>
              <w:spacing w:after="0"/>
              <w:rPr>
                <w:sz w:val="20"/>
                <w:szCs w:val="20"/>
                <w:color w:val="auto"/>
              </w:rPr>
            </w:pPr>
            <w:r>
              <w:rPr>
                <w:rFonts w:ascii="Arial" w:cs="Arial" w:eastAsia="Arial" w:hAnsi="Arial"/>
                <w:sz w:val="14"/>
                <w:szCs w:val="14"/>
                <w:b w:val="1"/>
                <w:bCs w:val="1"/>
                <w:color w:val="auto"/>
              </w:rPr>
              <w:t>(dollars in thousands)</w:t>
            </w: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5180" w:type="dxa"/>
            <w:vAlign w:val="bottom"/>
          </w:tcPr>
          <w:p>
            <w:pPr>
              <w:ind w:left="20"/>
              <w:spacing w:after="0"/>
              <w:rPr>
                <w:sz w:val="20"/>
                <w:szCs w:val="20"/>
                <w:color w:val="auto"/>
              </w:rPr>
            </w:pPr>
            <w:r>
              <w:rPr>
                <w:rFonts w:ascii="Arial" w:cs="Arial" w:eastAsia="Arial" w:hAnsi="Arial"/>
                <w:sz w:val="18"/>
                <w:szCs w:val="18"/>
                <w:color w:val="auto"/>
              </w:rPr>
              <w:t>Revenue</w:t>
            </w:r>
          </w:p>
        </w:tc>
        <w:tc>
          <w:tcPr>
            <w:tcW w:w="8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Product revenue</w:t>
            </w:r>
          </w:p>
        </w:tc>
        <w:tc>
          <w:tcPr>
            <w:tcW w:w="88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7,360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5,070</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221 %</w:t>
            </w:r>
          </w:p>
        </w:tc>
        <w:tc>
          <w:tcPr>
            <w:tcW w:w="0" w:type="dxa"/>
            <w:vAlign w:val="bottom"/>
          </w:tcPr>
          <w:p>
            <w:pPr>
              <w:spacing w:after="0"/>
              <w:rPr>
                <w:sz w:val="1"/>
                <w:szCs w:val="1"/>
                <w:color w:val="auto"/>
              </w:rPr>
            </w:pPr>
          </w:p>
        </w:tc>
      </w:tr>
      <w:tr>
        <w:trPr>
          <w:trHeight w:val="229"/>
        </w:trPr>
        <w:tc>
          <w:tcPr>
            <w:tcW w:w="5180" w:type="dxa"/>
            <w:vAlign w:val="bottom"/>
          </w:tcPr>
          <w:p>
            <w:pPr>
              <w:ind w:left="240"/>
              <w:spacing w:after="0"/>
              <w:rPr>
                <w:sz w:val="20"/>
                <w:szCs w:val="20"/>
                <w:color w:val="auto"/>
              </w:rPr>
            </w:pPr>
            <w:r>
              <w:rPr>
                <w:rFonts w:ascii="Arial" w:cs="Arial" w:eastAsia="Arial" w:hAnsi="Arial"/>
                <w:sz w:val="18"/>
                <w:szCs w:val="18"/>
                <w:color w:val="auto"/>
              </w:rPr>
              <w:t>Service revenue</w:t>
            </w:r>
          </w:p>
        </w:tc>
        <w:tc>
          <w:tcPr>
            <w:tcW w:w="88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1,991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(1,991)</w:t>
            </w:r>
          </w:p>
        </w:tc>
        <w:tc>
          <w:tcPr>
            <w:tcW w:w="80" w:type="dxa"/>
            <w:vAlign w:val="bottom"/>
          </w:tcPr>
          <w:p>
            <w:pPr>
              <w:spacing w:after="0"/>
              <w:rPr>
                <w:sz w:val="19"/>
                <w:szCs w:val="19"/>
                <w:color w:val="auto"/>
              </w:rPr>
            </w:pPr>
          </w:p>
        </w:tc>
        <w:tc>
          <w:tcPr>
            <w:tcW w:w="1560" w:type="dxa"/>
            <w:vAlign w:val="bottom"/>
          </w:tcPr>
          <w:p>
            <w:pPr>
              <w:jc w:val="right"/>
              <w:ind w:right="9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8"/>
        </w:trPr>
        <w:tc>
          <w:tcPr>
            <w:tcW w:w="5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880" w:type="dxa"/>
            <w:vAlign w:val="bottom"/>
            <w:tcBorders>
              <w:top w:val="single" w:sz="8" w:color="auto"/>
              <w:bottom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7,360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72 %</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Revenue by geographic location:</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180" w:type="dxa"/>
            <w:vAlign w:val="bottom"/>
            <w:vMerge w:val="continue"/>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United States</w:t>
            </w:r>
          </w:p>
        </w:tc>
        <w:tc>
          <w:tcPr>
            <w:tcW w:w="88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2,572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5180" w:type="dxa"/>
            <w:vAlign w:val="bottom"/>
          </w:tcPr>
          <w:p>
            <w:pPr>
              <w:ind w:left="240"/>
              <w:spacing w:after="0"/>
              <w:rPr>
                <w:sz w:val="20"/>
                <w:szCs w:val="20"/>
                <w:color w:val="auto"/>
              </w:rPr>
            </w:pPr>
            <w:r>
              <w:rPr>
                <w:rFonts w:ascii="Arial" w:cs="Arial" w:eastAsia="Arial" w:hAnsi="Arial"/>
                <w:sz w:val="18"/>
                <w:szCs w:val="18"/>
                <w:color w:val="auto"/>
              </w:rPr>
              <w:t>Americas, excluding United States</w:t>
            </w:r>
          </w:p>
        </w:tc>
        <w:tc>
          <w:tcPr>
            <w:tcW w:w="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122</w:t>
            </w:r>
          </w:p>
        </w:tc>
        <w:tc>
          <w:tcPr>
            <w:tcW w:w="80" w:type="dxa"/>
            <w:vAlign w:val="bottom"/>
          </w:tcPr>
          <w:p>
            <w:pPr>
              <w:spacing w:after="0"/>
              <w:rPr>
                <w:sz w:val="19"/>
                <w:szCs w:val="19"/>
                <w:color w:val="auto"/>
              </w:rPr>
            </w:pPr>
          </w:p>
        </w:tc>
        <w:tc>
          <w:tcPr>
            <w:tcW w:w="1560" w:type="dxa"/>
            <w:vAlign w:val="bottom"/>
          </w:tcPr>
          <w:p>
            <w:pPr>
              <w:jc w:val="right"/>
              <w:ind w:right="134"/>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Europe, Middle East and Africa</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2,931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2,246</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29"/>
        </w:trPr>
        <w:tc>
          <w:tcPr>
            <w:tcW w:w="51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Asia and Pacific</w:t>
            </w:r>
          </w:p>
        </w:tc>
        <w:tc>
          <w:tcPr>
            <w:tcW w:w="8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1,696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w:t>
            </w:r>
          </w:p>
        </w:tc>
        <w:tc>
          <w:tcPr>
            <w:tcW w:w="8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48"/>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88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7,360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3,079</w:t>
            </w: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72 %</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Revenue</w:t>
      </w:r>
    </w:p>
    <w:p>
      <w:pPr>
        <w:spacing w:after="0" w:line="171" w:lineRule="exact"/>
        <w:rPr>
          <w:sz w:val="20"/>
          <w:szCs w:val="20"/>
          <w:color w:val="auto"/>
        </w:rPr>
      </w:pPr>
    </w:p>
    <w:p>
      <w:pPr>
        <w:ind w:right="160" w:firstLine="405"/>
        <w:spacing w:after="0" w:line="275" w:lineRule="auto"/>
        <w:rPr>
          <w:sz w:val="20"/>
          <w:szCs w:val="20"/>
          <w:color w:val="auto"/>
        </w:rPr>
      </w:pPr>
      <w:r>
        <w:rPr>
          <w:rFonts w:ascii="Arial" w:cs="Arial" w:eastAsia="Arial" w:hAnsi="Arial"/>
          <w:sz w:val="17"/>
          <w:szCs w:val="17"/>
          <w:color w:val="auto"/>
        </w:rPr>
        <w:t>Product revenue increased by $5.1 million, or 221%, to $7.4 million for the three months ended June 30, 2021 from $2.3 million for the comparable period in the prior year. The increase in product revenue was driven by a 341% increase in volume which we attribute primarily to the expansion of our sales team into new geographic regions and the increase of high volume, long-term agreements as some of our customers begin to move into a production stage with their autonomous products. Our average selling price declined by 28% as we moved towards long-term, high volume negotiated customer pricing. As our volumes increases we expect further reductions in our costs of goods sold.</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 Revenue</w:t>
      </w:r>
    </w:p>
    <w:p>
      <w:pPr>
        <w:spacing w:after="0" w:line="171" w:lineRule="exact"/>
        <w:rPr>
          <w:sz w:val="20"/>
          <w:szCs w:val="20"/>
          <w:color w:val="auto"/>
        </w:rPr>
      </w:pPr>
    </w:p>
    <w:p>
      <w:pPr>
        <w:ind w:right="360" w:firstLine="405"/>
        <w:spacing w:after="0" w:line="308" w:lineRule="auto"/>
        <w:rPr>
          <w:sz w:val="20"/>
          <w:szCs w:val="20"/>
          <w:color w:val="auto"/>
        </w:rPr>
      </w:pPr>
      <w:r>
        <w:rPr>
          <w:rFonts w:ascii="Arial" w:cs="Arial" w:eastAsia="Arial" w:hAnsi="Arial"/>
          <w:sz w:val="17"/>
          <w:szCs w:val="17"/>
          <w:color w:val="auto"/>
        </w:rPr>
        <w:t>Service revenue decreased by $2.0 million, or 100% for the three months ended June 30, 2021 from $2.0 million for the comparable period in the prior year. This revenue represented non-recurring engineering work in relation to our new product release in early 2020.</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 Locations</w:t>
      </w:r>
    </w:p>
    <w:p>
      <w:pPr>
        <w:spacing w:after="0" w:line="171"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Revenue in the United States decreased by $0.2 million in the three months ended June 30, 2021, compared to the prior year period. The revenue decrease was mainly attributable to service revenue from the second quarter of 2020 that did not recur in the 2021 period. All service revenue was attributable to the United States. Product revenue increased across all regions. Revenue in the Americas excluding the United States; Europe, the Middle East and Africa; and Asia and Pacific increased by $0.1 million, $2.2 million, $0.9 million, respectively, in the three months ended June 30, 2021 compared to the prior year period. The revenue increases in Asia and Pacific and Europe, the Middle East and Africa were a result of continued sales expansion in those geographic regions. We opened sales offices in these regions beginning in late 2019 and have since increasingly focused our sales resources on expanding globally.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Revenue and Gross Margin</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80" w:type="dxa"/>
            <w:vAlign w:val="bottom"/>
          </w:tcPr>
          <w:p>
            <w:pPr>
              <w:spacing w:after="0"/>
              <w:rPr>
                <w:sz w:val="16"/>
                <w:szCs w:val="16"/>
                <w:color w:val="auto"/>
              </w:rPr>
            </w:pPr>
          </w:p>
        </w:tc>
        <w:tc>
          <w:tcPr>
            <w:tcW w:w="3000" w:type="dxa"/>
            <w:vAlign w:val="bottom"/>
            <w:gridSpan w:val="6"/>
          </w:tcPr>
          <w:p>
            <w:pPr>
              <w:ind w:left="52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6"/>
                <w:szCs w:val="16"/>
                <w:color w:val="auto"/>
              </w:rPr>
            </w:pPr>
          </w:p>
        </w:tc>
        <w:tc>
          <w:tcPr>
            <w:tcW w:w="1220" w:type="dxa"/>
            <w:vAlign w:val="bottom"/>
            <w:gridSpan w:val="2"/>
          </w:tcPr>
          <w:p>
            <w:pPr>
              <w:ind w:left="180"/>
              <w:spacing w:after="0"/>
              <w:rPr>
                <w:sz w:val="20"/>
                <w:szCs w:val="20"/>
                <w:color w:val="auto"/>
              </w:rPr>
            </w:pPr>
            <w:r>
              <w:rPr>
                <w:rFonts w:ascii="Arial" w:cs="Arial" w:eastAsia="Arial" w:hAnsi="Arial"/>
                <w:sz w:val="14"/>
                <w:szCs w:val="14"/>
                <w:b w:val="1"/>
                <w:bCs w:val="1"/>
                <w:color w:val="auto"/>
              </w:rPr>
              <w:t>Change</w:t>
            </w:r>
          </w:p>
        </w:tc>
        <w:tc>
          <w:tcPr>
            <w:tcW w:w="1560" w:type="dxa"/>
            <w:vAlign w:val="bottom"/>
          </w:tcPr>
          <w:p>
            <w:pPr>
              <w:jc w:val="right"/>
              <w:ind w:right="457"/>
              <w:spacing w:after="0"/>
              <w:rPr>
                <w:sz w:val="20"/>
                <w:szCs w:val="20"/>
                <w:color w:val="auto"/>
              </w:rPr>
            </w:pPr>
            <w:r>
              <w:rPr>
                <w:rFonts w:ascii="Arial" w:cs="Arial" w:eastAsia="Arial" w:hAnsi="Arial"/>
                <w:sz w:val="14"/>
                <w:szCs w:val="14"/>
                <w:b w:val="1"/>
                <w:bCs w:val="1"/>
                <w:color w:val="auto"/>
              </w:rPr>
              <w:t>Change</w:t>
            </w:r>
          </w:p>
        </w:tc>
      </w:tr>
      <w:tr>
        <w:trPr>
          <w:trHeight w:val="187"/>
        </w:trPr>
        <w:tc>
          <w:tcPr>
            <w:tcW w:w="5180" w:type="dxa"/>
            <w:vAlign w:val="bottom"/>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spacing w:after="0"/>
              <w:rPr>
                <w:sz w:val="16"/>
                <w:szCs w:val="16"/>
                <w:color w:val="auto"/>
              </w:rPr>
            </w:pPr>
          </w:p>
        </w:tc>
        <w:tc>
          <w:tcPr>
            <w:tcW w:w="1560" w:type="dxa"/>
            <w:vAlign w:val="bottom"/>
            <w:tcBorders>
              <w:top w:val="single" w:sz="8" w:color="auto"/>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w:t>
            </w:r>
          </w:p>
        </w:tc>
      </w:tr>
      <w:tr>
        <w:trPr>
          <w:trHeight w:val="181"/>
        </w:trPr>
        <w:tc>
          <w:tcPr>
            <w:tcW w:w="5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60" w:type="dxa"/>
            <w:vAlign w:val="bottom"/>
            <w:gridSpan w:val="5"/>
          </w:tcPr>
          <w:p>
            <w:pPr>
              <w:ind w:left="520"/>
              <w:spacing w:after="0"/>
              <w:rPr>
                <w:sz w:val="20"/>
                <w:szCs w:val="20"/>
                <w:color w:val="auto"/>
              </w:rPr>
            </w:pPr>
            <w:r>
              <w:rPr>
                <w:rFonts w:ascii="Arial" w:cs="Arial" w:eastAsia="Arial" w:hAnsi="Arial"/>
                <w:sz w:val="14"/>
                <w:szCs w:val="14"/>
                <w:b w:val="1"/>
                <w:bCs w:val="1"/>
                <w:color w:val="auto"/>
              </w:rPr>
              <w:t>(dollars in thousands)</w:t>
            </w:r>
          </w:p>
        </w:tc>
        <w:tc>
          <w:tcPr>
            <w:tcW w:w="1560" w:type="dxa"/>
            <w:vAlign w:val="bottom"/>
          </w:tcPr>
          <w:p>
            <w:pPr>
              <w:spacing w:after="0"/>
              <w:rPr>
                <w:sz w:val="15"/>
                <w:szCs w:val="15"/>
                <w:color w:val="auto"/>
              </w:rPr>
            </w:pPr>
          </w:p>
        </w:tc>
      </w:tr>
      <w:tr>
        <w:trPr>
          <w:trHeight w:val="232"/>
        </w:trPr>
        <w:tc>
          <w:tcPr>
            <w:tcW w:w="518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8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29"/>
        </w:trPr>
        <w:tc>
          <w:tcPr>
            <w:tcW w:w="5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 of product revenue</w:t>
            </w: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5,465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1,603</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42 %</w:t>
            </w:r>
          </w:p>
        </w:tc>
      </w:tr>
      <w:tr>
        <w:trPr>
          <w:trHeight w:val="230"/>
        </w:trPr>
        <w:tc>
          <w:tcPr>
            <w:tcW w:w="5180" w:type="dxa"/>
            <w:vAlign w:val="bottom"/>
          </w:tcPr>
          <w:p>
            <w:pPr>
              <w:ind w:left="140"/>
              <w:spacing w:after="0"/>
              <w:rPr>
                <w:sz w:val="20"/>
                <w:szCs w:val="20"/>
                <w:color w:val="auto"/>
              </w:rPr>
            </w:pPr>
            <w:r>
              <w:rPr>
                <w:rFonts w:ascii="Arial" w:cs="Arial" w:eastAsia="Arial" w:hAnsi="Arial"/>
                <w:sz w:val="18"/>
                <w:szCs w:val="18"/>
                <w:color w:val="auto"/>
              </w:rPr>
              <w:t>Cost of services</w:t>
            </w:r>
          </w:p>
        </w:tc>
        <w:tc>
          <w:tcPr>
            <w:tcW w:w="88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48"/>
        </w:trPr>
        <w:tc>
          <w:tcPr>
            <w:tcW w:w="5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880" w:type="dxa"/>
            <w:vAlign w:val="bottom"/>
            <w:tcBorders>
              <w:top w:val="single" w:sz="8" w:color="auto"/>
              <w:bottom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5,465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40.6 %</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Product Revenue and Gross Margin</w:t>
      </w:r>
    </w:p>
    <w:p>
      <w:pPr>
        <w:spacing w:after="0" w:line="171" w:lineRule="exact"/>
        <w:rPr>
          <w:sz w:val="20"/>
          <w:szCs w:val="20"/>
          <w:color w:val="auto"/>
        </w:rPr>
      </w:pPr>
    </w:p>
    <w:p>
      <w:pPr>
        <w:ind w:right="160" w:firstLine="405"/>
        <w:spacing w:after="0" w:line="257" w:lineRule="auto"/>
        <w:rPr>
          <w:sz w:val="20"/>
          <w:szCs w:val="20"/>
          <w:color w:val="auto"/>
        </w:rPr>
      </w:pPr>
      <w:r>
        <w:rPr>
          <w:rFonts w:ascii="Arial" w:cs="Arial" w:eastAsia="Arial" w:hAnsi="Arial"/>
          <w:sz w:val="18"/>
          <w:szCs w:val="18"/>
          <w:color w:val="auto"/>
        </w:rPr>
        <w:t>Cost of product revenue increased by $1.6 million, or 42%, to $5.5 million for the three months ended June 30, 2021 from $3.9 million for the comparable period in the prior year and cost per unit decreased by 68%. The increase in cost of product revenue was primarily due to increases of $2.1 million in material costs due to volume which was offset by $0.5 million in per unit savings in material cost and an increase of $0.3 million in manufacturing overhead costs and freight. The increases were partially offset by a decrease of $0.3 million in other product costs due to lower allowances for excess and obsolete inventory.</w:t>
      </w:r>
    </w:p>
    <w:p>
      <w:pPr>
        <w:spacing w:after="0" w:line="134" w:lineRule="exact"/>
        <w:rPr>
          <w:sz w:val="20"/>
          <w:szCs w:val="20"/>
          <w:color w:val="auto"/>
        </w:rPr>
      </w:pPr>
    </w:p>
    <w:p>
      <w:pPr>
        <w:ind w:right="700" w:firstLine="405"/>
        <w:spacing w:after="0" w:line="342" w:lineRule="auto"/>
        <w:rPr>
          <w:sz w:val="20"/>
          <w:szCs w:val="20"/>
          <w:color w:val="auto"/>
        </w:rPr>
      </w:pPr>
      <w:r>
        <w:rPr>
          <w:rFonts w:ascii="Arial" w:cs="Arial" w:eastAsia="Arial" w:hAnsi="Arial"/>
          <w:sz w:val="16"/>
          <w:szCs w:val="16"/>
          <w:color w:val="auto"/>
        </w:rPr>
        <w:t>Product gross margin increased from (69)% for the three months ended June 30, 2020 to 26% for the three months ended June 30, 2021. The improvement in product gross margin is due to the 68% decrease in cost per unit partially offset by the 28% decrease in average selling price.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6"/>
                <w:szCs w:val="16"/>
                <w:color w:val="auto"/>
              </w:rPr>
            </w:pPr>
          </w:p>
        </w:tc>
        <w:tc>
          <w:tcPr>
            <w:tcW w:w="1220" w:type="dxa"/>
            <w:vAlign w:val="bottom"/>
            <w:gridSpan w:val="2"/>
          </w:tcPr>
          <w:p>
            <w:pPr>
              <w:ind w:left="180"/>
              <w:spacing w:after="0"/>
              <w:rPr>
                <w:sz w:val="20"/>
                <w:szCs w:val="20"/>
                <w:color w:val="auto"/>
              </w:rPr>
            </w:pPr>
            <w:r>
              <w:rPr>
                <w:rFonts w:ascii="Arial" w:cs="Arial" w:eastAsia="Arial" w:hAnsi="Arial"/>
                <w:sz w:val="14"/>
                <w:szCs w:val="14"/>
                <w:b w:val="1"/>
                <w:bCs w:val="1"/>
                <w:color w:val="auto"/>
              </w:rPr>
              <w:t>Change</w:t>
            </w:r>
          </w:p>
        </w:tc>
        <w:tc>
          <w:tcPr>
            <w:tcW w:w="1560" w:type="dxa"/>
            <w:vAlign w:val="bottom"/>
          </w:tcPr>
          <w:p>
            <w:pPr>
              <w:jc w:val="right"/>
              <w:ind w:right="456"/>
              <w:spacing w:after="0"/>
              <w:rPr>
                <w:sz w:val="20"/>
                <w:szCs w:val="20"/>
                <w:color w:val="auto"/>
              </w:rPr>
            </w:pPr>
            <w:r>
              <w:rPr>
                <w:rFonts w:ascii="Arial" w:cs="Arial" w:eastAsia="Arial" w:hAnsi="Arial"/>
                <w:sz w:val="14"/>
                <w:szCs w:val="14"/>
                <w:b w:val="1"/>
                <w:bCs w:val="1"/>
                <w:color w:val="auto"/>
              </w:rPr>
              <w:t>Change</w:t>
            </w:r>
          </w:p>
        </w:tc>
      </w:tr>
      <w:tr>
        <w:trPr>
          <w:trHeight w:val="187"/>
        </w:trPr>
        <w:tc>
          <w:tcPr>
            <w:tcW w:w="5180" w:type="dxa"/>
            <w:vAlign w:val="bottom"/>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spacing w:after="0"/>
              <w:rPr>
                <w:sz w:val="16"/>
                <w:szCs w:val="16"/>
                <w:color w:val="auto"/>
              </w:rPr>
            </w:pPr>
          </w:p>
        </w:tc>
        <w:tc>
          <w:tcPr>
            <w:tcW w:w="1560" w:type="dxa"/>
            <w:vAlign w:val="bottom"/>
            <w:tcBorders>
              <w:top w:val="single" w:sz="8" w:color="auto"/>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w:t>
            </w:r>
          </w:p>
        </w:tc>
      </w:tr>
      <w:tr>
        <w:trPr>
          <w:trHeight w:val="183"/>
        </w:trPr>
        <w:tc>
          <w:tcPr>
            <w:tcW w:w="5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60" w:type="dxa"/>
            <w:vAlign w:val="bottom"/>
            <w:gridSpan w:val="5"/>
          </w:tcPr>
          <w:p>
            <w:pPr>
              <w:ind w:left="520"/>
              <w:spacing w:after="0"/>
              <w:rPr>
                <w:sz w:val="20"/>
                <w:szCs w:val="20"/>
                <w:color w:val="auto"/>
              </w:rPr>
            </w:pPr>
            <w:r>
              <w:rPr>
                <w:rFonts w:ascii="Arial" w:cs="Arial" w:eastAsia="Arial" w:hAnsi="Arial"/>
                <w:sz w:val="14"/>
                <w:szCs w:val="14"/>
                <w:b w:val="1"/>
                <w:bCs w:val="1"/>
                <w:color w:val="auto"/>
              </w:rPr>
              <w:t>(dollars in thousands)</w:t>
            </w:r>
          </w:p>
        </w:tc>
        <w:tc>
          <w:tcPr>
            <w:tcW w:w="1560" w:type="dxa"/>
            <w:vAlign w:val="bottom"/>
          </w:tcPr>
          <w:p>
            <w:pPr>
              <w:spacing w:after="0"/>
              <w:rPr>
                <w:sz w:val="15"/>
                <w:szCs w:val="15"/>
                <w:color w:val="auto"/>
              </w:rPr>
            </w:pPr>
          </w:p>
        </w:tc>
      </w:tr>
      <w:tr>
        <w:trPr>
          <w:trHeight w:val="231"/>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r>
      <w:tr>
        <w:trPr>
          <w:trHeight w:val="230"/>
        </w:trPr>
        <w:tc>
          <w:tcPr>
            <w:tcW w:w="518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6,474</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5,678</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796</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14 %</w:t>
            </w:r>
          </w:p>
        </w:tc>
      </w:tr>
      <w:tr>
        <w:trPr>
          <w:trHeight w:val="229"/>
        </w:trPr>
        <w:tc>
          <w:tcPr>
            <w:tcW w:w="5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Sales and marketing</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2,929</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174</w:t>
            </w:r>
          </w:p>
        </w:tc>
      </w:tr>
      <w:tr>
        <w:trPr>
          <w:trHeight w:val="230"/>
        </w:trPr>
        <w:tc>
          <w:tcPr>
            <w:tcW w:w="51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12,197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8,519</w:t>
            </w:r>
          </w:p>
        </w:tc>
        <w:tc>
          <w:tcPr>
            <w:tcW w:w="8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232</w:t>
            </w:r>
          </w:p>
        </w:tc>
      </w:tr>
      <w:tr>
        <w:trPr>
          <w:trHeight w:val="248"/>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12,244</w:t>
            </w: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111 %</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71" w:lineRule="exact"/>
        <w:rPr>
          <w:sz w:val="20"/>
          <w:szCs w:val="20"/>
          <w:color w:val="auto"/>
        </w:rPr>
      </w:pPr>
    </w:p>
    <w:p>
      <w:pPr>
        <w:jc w:val="both"/>
        <w:ind w:right="120" w:firstLine="405"/>
        <w:spacing w:after="0" w:line="259" w:lineRule="auto"/>
        <w:rPr>
          <w:sz w:val="20"/>
          <w:szCs w:val="20"/>
          <w:color w:val="auto"/>
        </w:rPr>
      </w:pPr>
      <w:r>
        <w:rPr>
          <w:rFonts w:ascii="Arial" w:cs="Arial" w:eastAsia="Arial" w:hAnsi="Arial"/>
          <w:sz w:val="18"/>
          <w:szCs w:val="18"/>
          <w:color w:val="auto"/>
        </w:rPr>
        <w:t>Research and development expenses increased by $0.8 million, or 14%, to $6.5 million for the three months ended June 30, 2021 from $5.7 million for the comparable period in the prior year. The increase was primarily attributable to a $1.2 million increase in stock-based compensation expense, a $0.6 million increase in payroll-related expenses, a $0.3 increase in depreciation and amortization expense, and a $0.3 million increase in recruiting which was offset by a $1.6 million decrease in product development.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171" w:lineRule="exact"/>
        <w:rPr>
          <w:sz w:val="20"/>
          <w:szCs w:val="20"/>
          <w:color w:val="auto"/>
        </w:rPr>
      </w:pPr>
    </w:p>
    <w:p>
      <w:pPr>
        <w:jc w:val="both"/>
        <w:ind w:right="80" w:firstLine="405"/>
        <w:spacing w:after="0" w:line="301" w:lineRule="auto"/>
        <w:rPr>
          <w:sz w:val="20"/>
          <w:szCs w:val="20"/>
          <w:color w:val="auto"/>
        </w:rPr>
      </w:pPr>
      <w:r>
        <w:rPr>
          <w:rFonts w:ascii="Arial" w:cs="Arial" w:eastAsia="Arial" w:hAnsi="Arial"/>
          <w:sz w:val="16"/>
          <w:szCs w:val="16"/>
          <w:color w:val="auto"/>
        </w:rPr>
        <w:t>Sales and marketing expenses increased by $2.9 million, or 174%, to $4.6 million for the three months ended June 30, 2021 from $1.7 million for the comparable period in the prior year. The increase was primarily attributable to an increase of $2.2 million in payroll and personnel-related costs driven by the addition of sales personnel in all our global regions, of which $0.7 million was stock-based compensation related, $0.6 million for marketing and sales consulting, and an increase of $0.1 million in facility-related expenses related to opening and expanding sales offices around the world.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71" w:lineRule="exact"/>
        <w:rPr>
          <w:sz w:val="20"/>
          <w:szCs w:val="20"/>
          <w:color w:val="auto"/>
        </w:rPr>
      </w:pPr>
    </w:p>
    <w:p>
      <w:pPr>
        <w:jc w:val="both"/>
        <w:ind w:right="20" w:firstLine="405"/>
        <w:spacing w:after="0" w:line="257" w:lineRule="auto"/>
        <w:rPr>
          <w:sz w:val="20"/>
          <w:szCs w:val="20"/>
          <w:color w:val="auto"/>
        </w:rPr>
      </w:pPr>
      <w:r>
        <w:rPr>
          <w:rFonts w:ascii="Arial" w:cs="Arial" w:eastAsia="Arial" w:hAnsi="Arial"/>
          <w:sz w:val="18"/>
          <w:szCs w:val="18"/>
          <w:color w:val="auto"/>
        </w:rPr>
        <w:t>General and administrative expenses increased by $8.5 million, or 232%, to $12.2 million for the three months ended June 30, 2021 from $3.7 million for the comparable period in the prior year. The increase was primarily due to an increase of $3.8 million of stock-based compensation, an increase of $1.7 million in legal, accounting and professional services, an increase of $1.9 million in insurance premiums, an increase of $0.3 million of recruiting expenses related to executive search and hiring, an increase of $0.3 million in personnel-related expenses, and $0.5 million in facility, office-related and depreciation expenses.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Interest Expense and Other Income (Expense), Net</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120" w:type="dxa"/>
            <w:vAlign w:val="bottom"/>
            <w:gridSpan w:val="2"/>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gridSpan w:val="2"/>
          </w:tcPr>
          <w:p>
            <w:pPr>
              <w:ind w:left="180"/>
              <w:spacing w:after="0"/>
              <w:rPr>
                <w:sz w:val="20"/>
                <w:szCs w:val="20"/>
                <w:color w:val="auto"/>
              </w:rPr>
            </w:pPr>
            <w:r>
              <w:rPr>
                <w:rFonts w:ascii="Arial" w:cs="Arial" w:eastAsia="Arial" w:hAnsi="Arial"/>
                <w:sz w:val="14"/>
                <w:szCs w:val="14"/>
                <w:b w:val="1"/>
                <w:bCs w:val="1"/>
                <w:color w:val="auto"/>
              </w:rPr>
              <w:t>Change</w:t>
            </w:r>
          </w:p>
        </w:tc>
        <w:tc>
          <w:tcPr>
            <w:tcW w:w="1560" w:type="dxa"/>
            <w:vAlign w:val="bottom"/>
          </w:tcPr>
          <w:p>
            <w:pPr>
              <w:jc w:val="right"/>
              <w:ind w:right="457"/>
              <w:spacing w:after="0"/>
              <w:rPr>
                <w:sz w:val="20"/>
                <w:szCs w:val="20"/>
                <w:color w:val="auto"/>
              </w:rPr>
            </w:pPr>
            <w:r>
              <w:rPr>
                <w:rFonts w:ascii="Arial" w:cs="Arial" w:eastAsia="Arial" w:hAnsi="Arial"/>
                <w:sz w:val="14"/>
                <w:szCs w:val="14"/>
                <w:b w:val="1"/>
                <w:bCs w:val="1"/>
                <w:color w:val="auto"/>
              </w:rPr>
              <w:t>Change</w:t>
            </w:r>
          </w:p>
        </w:tc>
      </w:tr>
      <w:tr>
        <w:trPr>
          <w:trHeight w:val="187"/>
        </w:trPr>
        <w:tc>
          <w:tcPr>
            <w:tcW w:w="5160" w:type="dxa"/>
            <w:vAlign w:val="bottom"/>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2021</w:t>
            </w:r>
          </w:p>
        </w:tc>
        <w:tc>
          <w:tcPr>
            <w:tcW w:w="98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top w:val="single" w:sz="8" w:color="auto"/>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16"/>
                <w:szCs w:val="16"/>
                <w:color w:val="auto"/>
              </w:rPr>
            </w:pPr>
          </w:p>
        </w:tc>
        <w:tc>
          <w:tcPr>
            <w:tcW w:w="1560" w:type="dxa"/>
            <w:vAlign w:val="bottom"/>
            <w:tcBorders>
              <w:top w:val="single" w:sz="8" w:color="auto"/>
              <w:bottom w:val="single" w:sz="8" w:color="auto"/>
            </w:tcBorders>
          </w:tcPr>
          <w:p>
            <w:pPr>
              <w:jc w:val="right"/>
              <w:ind w:right="637"/>
              <w:spacing w:after="0"/>
              <w:rPr>
                <w:sz w:val="20"/>
                <w:szCs w:val="20"/>
                <w:color w:val="auto"/>
              </w:rPr>
            </w:pPr>
            <w:r>
              <w:rPr>
                <w:rFonts w:ascii="Arial" w:cs="Arial" w:eastAsia="Arial" w:hAnsi="Arial"/>
                <w:sz w:val="14"/>
                <w:szCs w:val="14"/>
                <w:b w:val="1"/>
                <w:bCs w:val="1"/>
                <w:color w:val="auto"/>
              </w:rPr>
              <w:t>%</w:t>
            </w:r>
          </w:p>
        </w:tc>
      </w:tr>
      <w:tr>
        <w:trPr>
          <w:trHeight w:val="183"/>
        </w:trPr>
        <w:tc>
          <w:tcPr>
            <w:tcW w:w="5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060" w:type="dxa"/>
            <w:vAlign w:val="bottom"/>
            <w:gridSpan w:val="6"/>
          </w:tcPr>
          <w:p>
            <w:pPr>
              <w:ind w:left="900"/>
              <w:spacing w:after="0"/>
              <w:rPr>
                <w:sz w:val="20"/>
                <w:szCs w:val="20"/>
                <w:color w:val="auto"/>
              </w:rPr>
            </w:pPr>
            <w:r>
              <w:rPr>
                <w:rFonts w:ascii="Arial" w:cs="Arial" w:eastAsia="Arial" w:hAnsi="Arial"/>
                <w:sz w:val="14"/>
                <w:szCs w:val="14"/>
                <w:b w:val="1"/>
                <w:bCs w:val="1"/>
                <w:color w:val="auto"/>
              </w:rPr>
              <w:t>(dollars in thousands)</w:t>
            </w:r>
          </w:p>
        </w:tc>
        <w:tc>
          <w:tcPr>
            <w:tcW w:w="1560" w:type="dxa"/>
            <w:vAlign w:val="bottom"/>
          </w:tcPr>
          <w:p>
            <w:pPr>
              <w:spacing w:after="0"/>
              <w:rPr>
                <w:sz w:val="15"/>
                <w:szCs w:val="15"/>
                <w:color w:val="auto"/>
              </w:rPr>
            </w:pPr>
          </w:p>
        </w:tc>
      </w:tr>
      <w:tr>
        <w:trPr>
          <w:trHeight w:val="231"/>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139</w:t>
            </w:r>
          </w:p>
        </w:tc>
        <w:tc>
          <w:tcPr>
            <w:tcW w:w="980" w:type="dxa"/>
            <w:vAlign w:val="bottom"/>
            <w:shd w:val="clear" w:color="auto" w:fill="CCEEFF"/>
          </w:tcPr>
          <w:p>
            <w:pPr>
              <w:jc w:val="right"/>
              <w:ind w:right="74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13800 %</w:t>
            </w: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9"/>
                <w:szCs w:val="19"/>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9"/>
              </w:rPr>
              <w:t>(398)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19"/>
                <w:szCs w:val="19"/>
                <w:color w:val="auto"/>
              </w:rPr>
            </w:pPr>
          </w:p>
        </w:tc>
        <w:tc>
          <w:tcPr>
            <w:tcW w:w="1560" w:type="dxa"/>
            <w:vAlign w:val="bottom"/>
          </w:tcPr>
          <w:p>
            <w:pPr>
              <w:jc w:val="right"/>
              <w:ind w:right="97"/>
              <w:spacing w:after="0"/>
              <w:rPr>
                <w:sz w:val="20"/>
                <w:szCs w:val="20"/>
                <w:color w:val="auto"/>
              </w:rPr>
            </w:pPr>
            <w:r>
              <w:rPr>
                <w:rFonts w:ascii="Arial" w:cs="Arial" w:eastAsia="Arial" w:hAnsi="Arial"/>
                <w:sz w:val="18"/>
                <w:szCs w:val="18"/>
                <w:color w:val="auto"/>
              </w:rPr>
              <w:t>(100)</w:t>
            </w: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(10,760)</w:t>
            </w: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(267)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(10,493)</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3,930</w:t>
            </w:r>
          </w:p>
        </w:tc>
      </w:tr>
    </w:tbl>
    <w:p>
      <w:pPr>
        <w:spacing w:after="0" w:line="24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increase in interest income was primarily related to an increase in our cash and cash equivalent balances after the Merger closed on March 11,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157"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The decrease in interest expense was primarily due to the conversion of convertible notes in the second quarter of 2020 and the repayment of bank debt in the third quarter of 2020 and in March 2021.</w:t>
      </w:r>
    </w:p>
    <w:p>
      <w:pPr>
        <w:spacing w:after="0" w:line="116" w:lineRule="exact"/>
        <w:rPr>
          <w:sz w:val="20"/>
          <w:szCs w:val="20"/>
          <w:color w:val="auto"/>
        </w:rPr>
      </w:pPr>
    </w:p>
    <w:p>
      <w:pPr>
        <w:ind w:right="200" w:firstLine="405"/>
        <w:spacing w:after="0" w:line="311" w:lineRule="auto"/>
        <w:rPr>
          <w:sz w:val="20"/>
          <w:szCs w:val="20"/>
          <w:color w:val="auto"/>
        </w:rPr>
      </w:pPr>
      <w:r>
        <w:rPr>
          <w:rFonts w:ascii="Arial" w:cs="Arial" w:eastAsia="Arial" w:hAnsi="Arial"/>
          <w:sz w:val="16"/>
          <w:szCs w:val="16"/>
          <w:color w:val="auto"/>
        </w:rPr>
        <w:t>Other income (expense), net was $10.8 million for the three months ended June 30, 2021 compared to $0.3 million for the comparable period in the prior year. During the three months ended June 30, 2021, we recorded a loss of $10.7 million for the fair value change of private placement warrant liability. In the three months ended June 30, 2020 we recorded $0.3 million in other expenses related to the Runway Loan and Security Agreement.</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ind w:right="460" w:firstLine="405"/>
        <w:spacing w:after="0" w:line="342" w:lineRule="auto"/>
        <w:rPr>
          <w:sz w:val="20"/>
          <w:szCs w:val="20"/>
          <w:color w:val="auto"/>
        </w:rPr>
      </w:pPr>
      <w:r>
        <w:rPr>
          <w:rFonts w:ascii="Arial" w:cs="Arial" w:eastAsia="Arial" w:hAnsi="Arial"/>
          <w:sz w:val="16"/>
          <w:szCs w:val="16"/>
          <w:color w:val="auto"/>
        </w:rPr>
        <w:t>We were subject to income taxes in the United States, Hong Kong, Thailand and China for the three months ended June 30, 2021 and 2020. Our income tax expense for three months ended June 30, 2021 and 2020 was not material to our condensed consolidated financial statements.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six months ended June 30, 2021 and 2020</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360" w:type="dxa"/>
            <w:vAlign w:val="bottom"/>
            <w:gridSpan w:val="4"/>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gridSpan w:val="2"/>
          </w:tcPr>
          <w:p>
            <w:pPr>
              <w:ind w:left="180"/>
              <w:spacing w:after="0"/>
              <w:rPr>
                <w:sz w:val="20"/>
                <w:szCs w:val="20"/>
                <w:color w:val="auto"/>
              </w:rPr>
            </w:pPr>
            <w:r>
              <w:rPr>
                <w:rFonts w:ascii="Arial" w:cs="Arial" w:eastAsia="Arial" w:hAnsi="Arial"/>
                <w:sz w:val="14"/>
                <w:szCs w:val="14"/>
                <w:b w:val="1"/>
                <w:bCs w:val="1"/>
                <w:color w:val="auto"/>
              </w:rPr>
              <w:t>Change</w:t>
            </w:r>
          </w:p>
        </w:tc>
        <w:tc>
          <w:tcPr>
            <w:tcW w:w="1560" w:type="dxa"/>
            <w:vAlign w:val="bottom"/>
          </w:tcPr>
          <w:p>
            <w:pPr>
              <w:jc w:val="right"/>
              <w:ind w:right="454"/>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7"/>
        </w:trPr>
        <w:tc>
          <w:tcPr>
            <w:tcW w:w="5160" w:type="dxa"/>
            <w:vAlign w:val="bottom"/>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top w:val="single" w:sz="8" w:color="auto"/>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spacing w:after="0"/>
              <w:rPr>
                <w:sz w:val="16"/>
                <w:szCs w:val="16"/>
                <w:color w:val="auto"/>
              </w:rPr>
            </w:pPr>
          </w:p>
        </w:tc>
        <w:tc>
          <w:tcPr>
            <w:tcW w:w="1560" w:type="dxa"/>
            <w:vAlign w:val="bottom"/>
            <w:tcBorders>
              <w:top w:val="single" w:sz="8" w:color="auto"/>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1"/>
        </w:trPr>
        <w:tc>
          <w:tcPr>
            <w:tcW w:w="5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160" w:type="dxa"/>
            <w:vAlign w:val="bottom"/>
            <w:gridSpan w:val="5"/>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5160" w:type="dxa"/>
            <w:vAlign w:val="bottom"/>
          </w:tcPr>
          <w:p>
            <w:pPr>
              <w:ind w:left="20"/>
              <w:spacing w:after="0"/>
              <w:rPr>
                <w:sz w:val="20"/>
                <w:szCs w:val="20"/>
                <w:color w:val="auto"/>
              </w:rPr>
            </w:pPr>
            <w:r>
              <w:rPr>
                <w:rFonts w:ascii="Arial" w:cs="Arial" w:eastAsia="Arial" w:hAnsi="Arial"/>
                <w:sz w:val="18"/>
                <w:szCs w:val="18"/>
                <w:color w:val="auto"/>
              </w:rPr>
              <w:t>Revenue</w:t>
            </w:r>
          </w:p>
        </w:tc>
        <w:tc>
          <w:tcPr>
            <w:tcW w:w="8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Product revenue</w:t>
            </w:r>
          </w:p>
        </w:tc>
        <w:tc>
          <w:tcPr>
            <w:tcW w:w="86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13,971</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4"/>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9,381</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204 %</w:t>
            </w:r>
          </w:p>
        </w:tc>
        <w:tc>
          <w:tcPr>
            <w:tcW w:w="0" w:type="dxa"/>
            <w:vAlign w:val="bottom"/>
          </w:tcPr>
          <w:p>
            <w:pPr>
              <w:spacing w:after="0"/>
              <w:rPr>
                <w:sz w:val="1"/>
                <w:szCs w:val="1"/>
                <w:color w:val="auto"/>
              </w:rPr>
            </w:pPr>
          </w:p>
        </w:tc>
      </w:tr>
      <w:tr>
        <w:trPr>
          <w:trHeight w:val="230"/>
        </w:trPr>
        <w:tc>
          <w:tcPr>
            <w:tcW w:w="5160" w:type="dxa"/>
            <w:vAlign w:val="bottom"/>
          </w:tcPr>
          <w:p>
            <w:pPr>
              <w:ind w:left="240"/>
              <w:spacing w:after="0"/>
              <w:rPr>
                <w:sz w:val="20"/>
                <w:szCs w:val="20"/>
                <w:color w:val="auto"/>
              </w:rPr>
            </w:pPr>
            <w:r>
              <w:rPr>
                <w:rFonts w:ascii="Arial" w:cs="Arial" w:eastAsia="Arial" w:hAnsi="Arial"/>
                <w:sz w:val="18"/>
                <w:szCs w:val="18"/>
                <w:color w:val="auto"/>
              </w:rPr>
              <w:t>Service revenue</w:t>
            </w:r>
          </w:p>
        </w:tc>
        <w:tc>
          <w:tcPr>
            <w:tcW w:w="86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1,991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(1,991)</w:t>
            </w:r>
          </w:p>
        </w:tc>
        <w:tc>
          <w:tcPr>
            <w:tcW w:w="80" w:type="dxa"/>
            <w:vAlign w:val="bottom"/>
          </w:tcPr>
          <w:p>
            <w:pPr>
              <w:spacing w:after="0"/>
              <w:rPr>
                <w:sz w:val="19"/>
                <w:szCs w:val="19"/>
                <w:color w:val="auto"/>
              </w:rPr>
            </w:pPr>
          </w:p>
        </w:tc>
        <w:tc>
          <w:tcPr>
            <w:tcW w:w="1560" w:type="dxa"/>
            <w:vAlign w:val="bottom"/>
          </w:tcPr>
          <w:p>
            <w:pPr>
              <w:jc w:val="right"/>
              <w:ind w:right="9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8"/>
        </w:trPr>
        <w:tc>
          <w:tcPr>
            <w:tcW w:w="5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860" w:type="dxa"/>
            <w:vAlign w:val="bottom"/>
            <w:tcBorders>
              <w:top w:val="single" w:sz="8" w:color="auto"/>
              <w:bottom w:val="single" w:sz="8" w:color="auto"/>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13,971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ind w:right="654"/>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112 %</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Revenue by geographic location:</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160" w:type="dxa"/>
            <w:vAlign w:val="bottom"/>
            <w:vMerge w:val="continue"/>
          </w:tcPr>
          <w:p>
            <w:pPr>
              <w:spacing w:after="0"/>
              <w:rPr>
                <w:sz w:val="15"/>
                <w:szCs w:val="15"/>
                <w:color w:val="auto"/>
              </w:rPr>
            </w:pPr>
          </w:p>
        </w:tc>
        <w:tc>
          <w:tcPr>
            <w:tcW w:w="8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United States</w:t>
            </w:r>
          </w:p>
        </w:tc>
        <w:tc>
          <w:tcPr>
            <w:tcW w:w="86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4,426</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4"/>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30"/>
        </w:trPr>
        <w:tc>
          <w:tcPr>
            <w:tcW w:w="5160" w:type="dxa"/>
            <w:vAlign w:val="bottom"/>
          </w:tcPr>
          <w:p>
            <w:pPr>
              <w:ind w:left="240"/>
              <w:spacing w:after="0"/>
              <w:rPr>
                <w:sz w:val="20"/>
                <w:szCs w:val="20"/>
                <w:color w:val="auto"/>
              </w:rPr>
            </w:pPr>
            <w:r>
              <w:rPr>
                <w:rFonts w:ascii="Arial" w:cs="Arial" w:eastAsia="Arial" w:hAnsi="Arial"/>
                <w:sz w:val="18"/>
                <w:szCs w:val="18"/>
                <w:color w:val="auto"/>
              </w:rPr>
              <w:t>Americas, excluding United States</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528</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419</w:t>
            </w:r>
          </w:p>
        </w:tc>
        <w:tc>
          <w:tcPr>
            <w:tcW w:w="80" w:type="dxa"/>
            <w:vAlign w:val="bottom"/>
          </w:tcPr>
          <w:p>
            <w:pPr>
              <w:spacing w:after="0"/>
              <w:rPr>
                <w:sz w:val="19"/>
                <w:szCs w:val="19"/>
                <w:color w:val="auto"/>
              </w:rPr>
            </w:pPr>
          </w:p>
        </w:tc>
        <w:tc>
          <w:tcPr>
            <w:tcW w:w="1560" w:type="dxa"/>
            <w:vAlign w:val="bottom"/>
          </w:tcPr>
          <w:p>
            <w:pPr>
              <w:jc w:val="right"/>
              <w:ind w:right="134"/>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Europe, Middle East and Africa</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6,070</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4,802</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Asia and Pacific</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2,947</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1,804</w:t>
            </w:r>
          </w:p>
        </w:tc>
        <w:tc>
          <w:tcPr>
            <w:tcW w:w="8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48"/>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860" w:type="dxa"/>
            <w:vAlign w:val="bottom"/>
            <w:tcBorders>
              <w:bottom w:val="single" w:sz="8" w:color="auto"/>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13,971</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54"/>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7,390</w:t>
            </w: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112 %</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Revenue</w:t>
      </w:r>
    </w:p>
    <w:p>
      <w:pPr>
        <w:spacing w:after="0" w:line="171" w:lineRule="exact"/>
        <w:rPr>
          <w:sz w:val="20"/>
          <w:szCs w:val="20"/>
          <w:color w:val="auto"/>
        </w:rPr>
      </w:pPr>
    </w:p>
    <w:p>
      <w:pPr>
        <w:ind w:firstLine="405"/>
        <w:spacing w:after="0" w:line="296" w:lineRule="auto"/>
        <w:rPr>
          <w:sz w:val="20"/>
          <w:szCs w:val="20"/>
          <w:color w:val="auto"/>
        </w:rPr>
      </w:pPr>
      <w:r>
        <w:rPr>
          <w:rFonts w:ascii="Arial" w:cs="Arial" w:eastAsia="Arial" w:hAnsi="Arial"/>
          <w:sz w:val="16"/>
          <w:szCs w:val="16"/>
          <w:color w:val="auto"/>
        </w:rPr>
        <w:t>Product revenue increased by $9.4 million, or 204%, to $14.0 million for the six months ended June 30, 2021 from $4.6 million for the comparable period in the prior year. The increase in product revenue was driven by an increase in volume of 294%, which we attribute primarily to the expansion of our sales team into new geographic regions and the increase of high volume, long-term deals as some of our customers begin to move into a production stage with their autonomous products. Our average selling price declined by 23% as we moved towards negotiated customer pricing with customers reaching the production stage with their autonomous products and we expect reductions in the cost of goods sold as we grow our volumes.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 Revenue</w:t>
      </w:r>
    </w:p>
    <w:p>
      <w:pPr>
        <w:spacing w:after="0" w:line="171"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Service revenue decreased by $2.0 million or 100% for the six months ended June 30, 2021 from $2.0 million for the comparable period in the prior year. This revenue represented engineering work in relation to our new product release in early 2020.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 Locations</w:t>
      </w:r>
    </w:p>
    <w:p>
      <w:pPr>
        <w:spacing w:after="0" w:line="171" w:lineRule="exact"/>
        <w:rPr>
          <w:sz w:val="20"/>
          <w:szCs w:val="20"/>
          <w:color w:val="auto"/>
        </w:rPr>
      </w:pPr>
    </w:p>
    <w:p>
      <w:pPr>
        <w:ind w:right="40" w:firstLine="405"/>
        <w:spacing w:after="0" w:line="296" w:lineRule="auto"/>
        <w:rPr>
          <w:sz w:val="20"/>
          <w:szCs w:val="20"/>
          <w:color w:val="auto"/>
        </w:rPr>
      </w:pPr>
      <w:r>
        <w:rPr>
          <w:rFonts w:ascii="Arial" w:cs="Arial" w:eastAsia="Arial" w:hAnsi="Arial"/>
          <w:sz w:val="16"/>
          <w:szCs w:val="16"/>
          <w:color w:val="auto"/>
        </w:rPr>
        <w:t>Revenue in the United States increased by $0.4 million in the six months ended June 30, 2021, compared to the prior year period. The revenue increase was mainly attributable to investments in additional sales staff. Revenue in the Americas excluding the United States; Europe, the Middle East and Africa; and Asia and Pacific increased by $0.4 million, $4.8 million, $1.8 million, respectively, in the six months ended June 30, 2021 compared to the prior year period. The revenue increases in the geographic regions of Asia and Pacific and Europe, the Middle East and Africa were a result of recent sales expansion in those regions. We opened sales offices in these regions beginning in late 2019 and have since continued to invest in expanding globally.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Revenue and Gross Margin</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360" w:type="dxa"/>
            <w:vAlign w:val="bottom"/>
            <w:gridSpan w:val="4"/>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gridSpan w:val="2"/>
          </w:tcPr>
          <w:p>
            <w:pPr>
              <w:ind w:left="180"/>
              <w:spacing w:after="0"/>
              <w:rPr>
                <w:sz w:val="20"/>
                <w:szCs w:val="20"/>
                <w:color w:val="auto"/>
              </w:rPr>
            </w:pPr>
            <w:r>
              <w:rPr>
                <w:rFonts w:ascii="Arial" w:cs="Arial" w:eastAsia="Arial" w:hAnsi="Arial"/>
                <w:sz w:val="14"/>
                <w:szCs w:val="14"/>
                <w:b w:val="1"/>
                <w:bCs w:val="1"/>
                <w:color w:val="auto"/>
              </w:rPr>
              <w:t>Change</w:t>
            </w:r>
          </w:p>
        </w:tc>
        <w:tc>
          <w:tcPr>
            <w:tcW w:w="1560" w:type="dxa"/>
            <w:vAlign w:val="bottom"/>
          </w:tcPr>
          <w:p>
            <w:pPr>
              <w:jc w:val="right"/>
              <w:ind w:right="457"/>
              <w:spacing w:after="0"/>
              <w:rPr>
                <w:sz w:val="20"/>
                <w:szCs w:val="20"/>
                <w:color w:val="auto"/>
              </w:rPr>
            </w:pPr>
            <w:r>
              <w:rPr>
                <w:rFonts w:ascii="Arial" w:cs="Arial" w:eastAsia="Arial" w:hAnsi="Arial"/>
                <w:sz w:val="14"/>
                <w:szCs w:val="14"/>
                <w:b w:val="1"/>
                <w:bCs w:val="1"/>
                <w:color w:val="auto"/>
              </w:rPr>
              <w:t>Change</w:t>
            </w:r>
          </w:p>
        </w:tc>
      </w:tr>
      <w:tr>
        <w:trPr>
          <w:trHeight w:val="187"/>
        </w:trPr>
        <w:tc>
          <w:tcPr>
            <w:tcW w:w="5160" w:type="dxa"/>
            <w:vAlign w:val="bottom"/>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top w:val="single" w:sz="8" w:color="auto"/>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spacing w:after="0"/>
              <w:rPr>
                <w:sz w:val="16"/>
                <w:szCs w:val="16"/>
                <w:color w:val="auto"/>
              </w:rPr>
            </w:pPr>
          </w:p>
        </w:tc>
        <w:tc>
          <w:tcPr>
            <w:tcW w:w="1560" w:type="dxa"/>
            <w:vAlign w:val="bottom"/>
            <w:tcBorders>
              <w:top w:val="single" w:sz="8" w:color="auto"/>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w:t>
            </w:r>
          </w:p>
        </w:tc>
      </w:tr>
      <w:tr>
        <w:trPr>
          <w:trHeight w:val="181"/>
        </w:trPr>
        <w:tc>
          <w:tcPr>
            <w:tcW w:w="5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160" w:type="dxa"/>
            <w:vAlign w:val="bottom"/>
            <w:gridSpan w:val="5"/>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560" w:type="dxa"/>
            <w:vAlign w:val="bottom"/>
          </w:tcPr>
          <w:p>
            <w:pPr>
              <w:spacing w:after="0"/>
              <w:rPr>
                <w:sz w:val="15"/>
                <w:szCs w:val="15"/>
                <w:color w:val="auto"/>
              </w:rPr>
            </w:pPr>
          </w:p>
        </w:tc>
      </w:tr>
      <w:tr>
        <w:trPr>
          <w:trHeight w:val="232"/>
        </w:trPr>
        <w:tc>
          <w:tcPr>
            <w:tcW w:w="516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8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29"/>
        </w:trPr>
        <w:tc>
          <w:tcPr>
            <w:tcW w:w="5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Cost of product revenue</w:t>
            </w:r>
          </w:p>
        </w:tc>
        <w:tc>
          <w:tcPr>
            <w:tcW w:w="86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10,333</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2,255</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28 %</w:t>
            </w:r>
          </w:p>
        </w:tc>
      </w:tr>
      <w:tr>
        <w:trPr>
          <w:trHeight w:val="229"/>
        </w:trPr>
        <w:tc>
          <w:tcPr>
            <w:tcW w:w="5160" w:type="dxa"/>
            <w:vAlign w:val="bottom"/>
          </w:tcPr>
          <w:p>
            <w:pPr>
              <w:ind w:left="240"/>
              <w:spacing w:after="0"/>
              <w:rPr>
                <w:sz w:val="20"/>
                <w:szCs w:val="20"/>
                <w:color w:val="auto"/>
              </w:rPr>
            </w:pPr>
            <w:r>
              <w:rPr>
                <w:rFonts w:ascii="Arial" w:cs="Arial" w:eastAsia="Arial" w:hAnsi="Arial"/>
                <w:sz w:val="18"/>
                <w:szCs w:val="18"/>
                <w:color w:val="auto"/>
              </w:rPr>
              <w:t>Cost of services</w:t>
            </w:r>
          </w:p>
        </w:tc>
        <w:tc>
          <w:tcPr>
            <w:tcW w:w="86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48"/>
        </w:trPr>
        <w:tc>
          <w:tcPr>
            <w:tcW w:w="5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860" w:type="dxa"/>
            <w:vAlign w:val="bottom"/>
            <w:tcBorders>
              <w:top w:val="single" w:sz="8" w:color="auto"/>
              <w:bottom w:val="single" w:sz="8" w:color="auto"/>
            </w:tcBorders>
            <w:shd w:val="clear" w:color="auto" w:fill="CCEEFF"/>
          </w:tcPr>
          <w:p>
            <w:pPr>
              <w:jc w:val="right"/>
              <w:ind w:right="659"/>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10,333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27.5 %</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Product Revenue and Gross Margin</w:t>
      </w:r>
    </w:p>
    <w:p>
      <w:pPr>
        <w:spacing w:after="0" w:line="171"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Cost of product revenue increased by $2.3 million, or 28%, to $10.3 million for the six months ended June 30, 2021 from $8.1 million for the comparable period in the prior year and cost per unit decreased by 67%. The increase in cost of product revenue was primarily due to increases of $3.4 million in material costs due to volume which was offset by $0.8 million in savings due to reduction in material costs per unit and increases of $0.7 million in manufacturing overhead costs. The increases were partially offset by a decrease of $1.0 million in other product costs due to lower allowances for excess and obsolete inventory.</w:t>
      </w:r>
    </w:p>
    <w:p>
      <w:pPr>
        <w:spacing w:after="0" w:line="134" w:lineRule="exact"/>
        <w:rPr>
          <w:sz w:val="20"/>
          <w:szCs w:val="20"/>
          <w:color w:val="auto"/>
        </w:rPr>
      </w:pPr>
    </w:p>
    <w:p>
      <w:pPr>
        <w:ind w:right="360" w:firstLine="405"/>
        <w:spacing w:after="0" w:line="263" w:lineRule="auto"/>
        <w:rPr>
          <w:sz w:val="20"/>
          <w:szCs w:val="20"/>
          <w:color w:val="auto"/>
        </w:rPr>
      </w:pPr>
      <w:r>
        <w:rPr>
          <w:rFonts w:ascii="Arial" w:cs="Arial" w:eastAsia="Arial" w:hAnsi="Arial"/>
          <w:sz w:val="18"/>
          <w:szCs w:val="18"/>
          <w:color w:val="auto"/>
        </w:rPr>
        <w:t>Product gross margin increased from (76)% for the six months ended June 30, 2020 to 26% for the six months ended June 30, 2021. The improvement in product gross margin is due to the 67% decrease in cost per unit slightly offset by the 23% decrease in average selling price referenced above.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Services Cost of Revenue and Gross Margin</w:t>
      </w:r>
    </w:p>
    <w:p>
      <w:pPr>
        <w:spacing w:after="0" w:line="17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Services cost of revenue decreased by $26 thousand. This decrease in cost of revenue was due to there being no non-recurring engineering work in the six months ended June 30, 2021.</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60" w:type="dxa"/>
            <w:vAlign w:val="bottom"/>
            <w:gridSpan w:val="5"/>
          </w:tcPr>
          <w:p>
            <w:pPr>
              <w:ind w:left="360"/>
              <w:spacing w:after="0"/>
              <w:rPr>
                <w:sz w:val="20"/>
                <w:szCs w:val="20"/>
                <w:color w:val="auto"/>
              </w:rPr>
            </w:pPr>
            <w:r>
              <w:rPr>
                <w:rFonts w:ascii="Arial" w:cs="Arial" w:eastAsia="Arial" w:hAnsi="Arial"/>
                <w:sz w:val="14"/>
                <w:szCs w:val="14"/>
                <w:b w:val="1"/>
                <w:bCs w:val="1"/>
                <w:color w:val="auto"/>
              </w:rPr>
              <w:t>Six Months Ended June 30,</w:t>
            </w:r>
          </w:p>
        </w:tc>
        <w:tc>
          <w:tcPr>
            <w:tcW w:w="280" w:type="dxa"/>
            <w:vAlign w:val="bottom"/>
          </w:tcPr>
          <w:p>
            <w:pPr>
              <w:spacing w:after="0"/>
              <w:rPr>
                <w:sz w:val="16"/>
                <w:szCs w:val="16"/>
                <w:color w:val="auto"/>
              </w:rPr>
            </w:pPr>
          </w:p>
        </w:tc>
        <w:tc>
          <w:tcPr>
            <w:tcW w:w="1220" w:type="dxa"/>
            <w:vAlign w:val="bottom"/>
            <w:gridSpan w:val="2"/>
          </w:tcPr>
          <w:p>
            <w:pPr>
              <w:ind w:left="180"/>
              <w:spacing w:after="0"/>
              <w:rPr>
                <w:sz w:val="20"/>
                <w:szCs w:val="20"/>
                <w:color w:val="auto"/>
              </w:rPr>
            </w:pPr>
            <w:r>
              <w:rPr>
                <w:rFonts w:ascii="Arial" w:cs="Arial" w:eastAsia="Arial" w:hAnsi="Arial"/>
                <w:sz w:val="14"/>
                <w:szCs w:val="14"/>
                <w:b w:val="1"/>
                <w:bCs w:val="1"/>
                <w:color w:val="auto"/>
              </w:rPr>
              <w:t>Change</w:t>
            </w:r>
          </w:p>
        </w:tc>
        <w:tc>
          <w:tcPr>
            <w:tcW w:w="1560" w:type="dxa"/>
            <w:vAlign w:val="bottom"/>
          </w:tcPr>
          <w:p>
            <w:pPr>
              <w:jc w:val="right"/>
              <w:ind w:right="456"/>
              <w:spacing w:after="0"/>
              <w:rPr>
                <w:sz w:val="20"/>
                <w:szCs w:val="20"/>
                <w:color w:val="auto"/>
              </w:rPr>
            </w:pPr>
            <w:r>
              <w:rPr>
                <w:rFonts w:ascii="Arial" w:cs="Arial" w:eastAsia="Arial" w:hAnsi="Arial"/>
                <w:sz w:val="14"/>
                <w:szCs w:val="14"/>
                <w:b w:val="1"/>
                <w:bCs w:val="1"/>
                <w:color w:val="auto"/>
              </w:rPr>
              <w:t>Change</w:t>
            </w:r>
          </w:p>
        </w:tc>
      </w:tr>
      <w:tr>
        <w:trPr>
          <w:trHeight w:val="187"/>
        </w:trPr>
        <w:tc>
          <w:tcPr>
            <w:tcW w:w="518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spacing w:after="0"/>
              <w:rPr>
                <w:sz w:val="16"/>
                <w:szCs w:val="16"/>
                <w:color w:val="auto"/>
              </w:rPr>
            </w:pPr>
          </w:p>
        </w:tc>
        <w:tc>
          <w:tcPr>
            <w:tcW w:w="1560" w:type="dxa"/>
            <w:vAlign w:val="bottom"/>
            <w:tcBorders>
              <w:top w:val="single" w:sz="8" w:color="auto"/>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w:t>
            </w:r>
          </w:p>
        </w:tc>
      </w:tr>
      <w:tr>
        <w:trPr>
          <w:trHeight w:val="183"/>
        </w:trPr>
        <w:tc>
          <w:tcPr>
            <w:tcW w:w="5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60" w:type="dxa"/>
            <w:vAlign w:val="bottom"/>
            <w:gridSpan w:val="5"/>
          </w:tcPr>
          <w:p>
            <w:pPr>
              <w:ind w:left="520"/>
              <w:spacing w:after="0"/>
              <w:rPr>
                <w:sz w:val="20"/>
                <w:szCs w:val="20"/>
                <w:color w:val="auto"/>
              </w:rPr>
            </w:pPr>
            <w:r>
              <w:rPr>
                <w:rFonts w:ascii="Arial" w:cs="Arial" w:eastAsia="Arial" w:hAnsi="Arial"/>
                <w:sz w:val="14"/>
                <w:szCs w:val="14"/>
                <w:b w:val="1"/>
                <w:bCs w:val="1"/>
                <w:color w:val="auto"/>
              </w:rPr>
              <w:t>(dollars in thousands)</w:t>
            </w:r>
          </w:p>
        </w:tc>
        <w:tc>
          <w:tcPr>
            <w:tcW w:w="1560" w:type="dxa"/>
            <w:vAlign w:val="bottom"/>
          </w:tcPr>
          <w:p>
            <w:pPr>
              <w:spacing w:after="0"/>
              <w:rPr>
                <w:sz w:val="15"/>
                <w:szCs w:val="15"/>
                <w:color w:val="auto"/>
              </w:rPr>
            </w:pPr>
          </w:p>
        </w:tc>
      </w:tr>
      <w:tr>
        <w:trPr>
          <w:trHeight w:val="231"/>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r>
      <w:tr>
        <w:trPr>
          <w:trHeight w:val="230"/>
        </w:trPr>
        <w:tc>
          <w:tcPr>
            <w:tcW w:w="518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11,186</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10,152</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1,034</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10 %</w:t>
            </w:r>
          </w:p>
        </w:tc>
      </w:tr>
      <w:tr>
        <w:trPr>
          <w:trHeight w:val="230"/>
        </w:trPr>
        <w:tc>
          <w:tcPr>
            <w:tcW w:w="5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Sales and marketing</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4,129</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106</w:t>
            </w:r>
          </w:p>
        </w:tc>
      </w:tr>
      <w:tr>
        <w:trPr>
          <w:trHeight w:val="229"/>
        </w:trPr>
        <w:tc>
          <w:tcPr>
            <w:tcW w:w="51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22,104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14,760</w:t>
            </w:r>
          </w:p>
        </w:tc>
        <w:tc>
          <w:tcPr>
            <w:tcW w:w="8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201</w:t>
            </w:r>
          </w:p>
        </w:tc>
      </w:tr>
      <w:tr>
        <w:trPr>
          <w:trHeight w:val="248"/>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19,923</w:t>
            </w: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93 %</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r>
        <w:trPr>
          <w:trHeight w:val="865"/>
        </w:trPr>
        <w:tc>
          <w:tcPr>
            <w:tcW w:w="5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jc w:val="right"/>
              <w:ind w:right="775"/>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15"/>
        </w:trPr>
        <w:tc>
          <w:tcPr>
            <w:tcW w:w="51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71" w:lineRule="exact"/>
        <w:rPr>
          <w:sz w:val="20"/>
          <w:szCs w:val="20"/>
          <w:color w:val="auto"/>
        </w:rPr>
      </w:pPr>
    </w:p>
    <w:p>
      <w:pPr>
        <w:jc w:val="both"/>
        <w:ind w:right="120" w:firstLine="405"/>
        <w:spacing w:after="0" w:line="259" w:lineRule="auto"/>
        <w:rPr>
          <w:sz w:val="20"/>
          <w:szCs w:val="20"/>
          <w:color w:val="auto"/>
        </w:rPr>
      </w:pPr>
      <w:r>
        <w:rPr>
          <w:rFonts w:ascii="Arial" w:cs="Arial" w:eastAsia="Arial" w:hAnsi="Arial"/>
          <w:sz w:val="18"/>
          <w:szCs w:val="18"/>
          <w:color w:val="auto"/>
        </w:rPr>
        <w:t>Research and development expenses increased by $1.0 million, or 10%, to $11.2 million for the six months ended June 30, 2021 from $10.2 million for the comparable period in the prior year. The increase was primarily attributable to a $2.1 million increase in stock-based compensation expense, a $0.6 million increase in payroll and personnel-related expense, and a $0.3 million increase in depreciation expense which was partially offset by a $2.0 million reduction in prototype and equipment costs related to product development.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171" w:lineRule="exact"/>
        <w:rPr>
          <w:sz w:val="20"/>
          <w:szCs w:val="20"/>
          <w:color w:val="auto"/>
        </w:rPr>
      </w:pPr>
    </w:p>
    <w:p>
      <w:pPr>
        <w:jc w:val="both"/>
        <w:ind w:right="160" w:firstLine="405"/>
        <w:spacing w:after="0" w:line="257" w:lineRule="auto"/>
        <w:rPr>
          <w:sz w:val="20"/>
          <w:szCs w:val="20"/>
          <w:color w:val="auto"/>
        </w:rPr>
      </w:pPr>
      <w:r>
        <w:rPr>
          <w:rFonts w:ascii="Arial" w:cs="Arial" w:eastAsia="Arial" w:hAnsi="Arial"/>
          <w:sz w:val="18"/>
          <w:szCs w:val="18"/>
          <w:color w:val="auto"/>
        </w:rPr>
        <w:t>Sales and marketing expenses increased by $4.1 million, or 106%, to $8.0 million for the six months ended June 30, 2021 from $3.9 million for the comparable period in the prior year. The increase was primarily attributable to an increase of $3.1 million in payroll and personnel-related costs driven by the addition of sales personnel in all our global regions, of which $0.9 million was stock-based compensation related, $1.0 million for additional branding and public relations expenses related to the Merger, marketing and consultants, and $0.1 million increase in facility, office and related expenses related to opening and expanding sales offices around the world.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71"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General and administrative expenses increased by $14.8 million, or 201%, to $22.1 million for the six months ended June 30, 2021 from $7.3 million for the comparable period in the prior year. The increase was primarily due to an increase of $7.8 million of stock-based compensation, a $0.6 million increase in payroll-related expense, an increase of $2.7 million in legal, accounting and professional services fees, an increase of $2.3 million in insurance premiums, an increase of $0.6 million of recruiting expenses relating to executive search and hiring, an increase of $0.6 million in facilities and office related expense, and $0.2 million in depreciation.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Interest Expense and Other Income (Expense), Net</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40" w:type="dxa"/>
            <w:vAlign w:val="bottom"/>
            <w:gridSpan w:val="2"/>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gridSpan w:val="2"/>
          </w:tcPr>
          <w:p>
            <w:pPr>
              <w:ind w:left="180"/>
              <w:spacing w:after="0"/>
              <w:rPr>
                <w:sz w:val="20"/>
                <w:szCs w:val="20"/>
                <w:color w:val="auto"/>
              </w:rPr>
            </w:pPr>
            <w:r>
              <w:rPr>
                <w:rFonts w:ascii="Arial" w:cs="Arial" w:eastAsia="Arial" w:hAnsi="Arial"/>
                <w:sz w:val="14"/>
                <w:szCs w:val="14"/>
                <w:b w:val="1"/>
                <w:bCs w:val="1"/>
                <w:color w:val="auto"/>
              </w:rPr>
              <w:t>Change</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3"/>
              </w:rPr>
              <w:t>Change</w:t>
            </w:r>
          </w:p>
        </w:tc>
      </w:tr>
      <w:tr>
        <w:trPr>
          <w:trHeight w:val="187"/>
        </w:trPr>
        <w:tc>
          <w:tcPr>
            <w:tcW w:w="5160" w:type="dxa"/>
            <w:vAlign w:val="bottom"/>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2021</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top w:val="single" w:sz="8" w:color="auto"/>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spacing w:after="0"/>
              <w:rPr>
                <w:sz w:val="16"/>
                <w:szCs w:val="16"/>
                <w:color w:val="auto"/>
              </w:rPr>
            </w:pPr>
          </w:p>
        </w:tc>
        <w:tc>
          <w:tcPr>
            <w:tcW w:w="1560" w:type="dxa"/>
            <w:vAlign w:val="bottom"/>
            <w:tcBorders>
              <w:top w:val="single" w:sz="8" w:color="auto"/>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w:t>
            </w:r>
          </w:p>
        </w:tc>
      </w:tr>
      <w:tr>
        <w:trPr>
          <w:trHeight w:val="183"/>
        </w:trPr>
        <w:tc>
          <w:tcPr>
            <w:tcW w:w="5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160" w:type="dxa"/>
            <w:vAlign w:val="bottom"/>
            <w:gridSpan w:val="5"/>
          </w:tcPr>
          <w:p>
            <w:pPr>
              <w:spacing w:after="0"/>
              <w:rPr>
                <w:sz w:val="20"/>
                <w:szCs w:val="20"/>
                <w:color w:val="auto"/>
              </w:rPr>
            </w:pPr>
            <w:r>
              <w:rPr>
                <w:rFonts w:ascii="Arial" w:cs="Arial" w:eastAsia="Arial" w:hAnsi="Arial"/>
                <w:sz w:val="14"/>
                <w:szCs w:val="14"/>
                <w:b w:val="1"/>
                <w:bCs w:val="1"/>
                <w:color w:val="auto"/>
              </w:rPr>
              <w:t>(dollars in thousands)</w:t>
            </w:r>
          </w:p>
        </w:tc>
        <w:tc>
          <w:tcPr>
            <w:tcW w:w="1560" w:type="dxa"/>
            <w:vAlign w:val="bottom"/>
          </w:tcPr>
          <w:p>
            <w:pPr>
              <w:spacing w:after="0"/>
              <w:rPr>
                <w:sz w:val="15"/>
                <w:szCs w:val="15"/>
                <w:color w:val="auto"/>
              </w:rPr>
            </w:pPr>
          </w:p>
        </w:tc>
      </w:tr>
      <w:tr>
        <w:trPr>
          <w:trHeight w:val="231"/>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140</w:t>
            </w:r>
          </w:p>
        </w:tc>
        <w:tc>
          <w:tcPr>
            <w:tcW w:w="90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80" w:type="dxa"/>
            <w:vAlign w:val="bottom"/>
            <w:shd w:val="clear" w:color="auto" w:fill="CCEEFF"/>
          </w:tcPr>
          <w:p>
            <w:pPr>
              <w:spacing w:after="0"/>
              <w:rPr>
                <w:sz w:val="20"/>
                <w:szCs w:val="20"/>
                <w:color w:val="auto"/>
              </w:rPr>
            </w:pPr>
          </w:p>
        </w:tc>
        <w:tc>
          <w:tcPr>
            <w:tcW w:w="156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93"/>
              </w:rPr>
              <w:t>509 %</w:t>
            </w: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(504)</w:t>
            </w:r>
          </w:p>
        </w:tc>
        <w:tc>
          <w:tcPr>
            <w:tcW w:w="900" w:type="dxa"/>
            <w:vAlign w:val="bottom"/>
          </w:tcPr>
          <w:p>
            <w:pPr>
              <w:spacing w:after="0"/>
              <w:rPr>
                <w:sz w:val="19"/>
                <w:szCs w:val="19"/>
                <w:color w:val="auto"/>
              </w:rPr>
            </w:pPr>
          </w:p>
        </w:tc>
        <w:tc>
          <w:tcPr>
            <w:tcW w:w="560" w:type="dxa"/>
            <w:vAlign w:val="bottom"/>
          </w:tcPr>
          <w:p>
            <w:pPr>
              <w:spacing w:after="0"/>
              <w:rPr>
                <w:sz w:val="20"/>
                <w:szCs w:val="20"/>
                <w:color w:val="auto"/>
              </w:rPr>
            </w:pPr>
            <w:r>
              <w:rPr>
                <w:rFonts w:ascii="Arial" w:cs="Arial" w:eastAsia="Arial" w:hAnsi="Arial"/>
                <w:sz w:val="18"/>
                <w:szCs w:val="18"/>
                <w:color w:val="auto"/>
                <w:w w:val="94"/>
              </w:rPr>
              <w:t>(1,675)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1,171</w:t>
            </w:r>
          </w:p>
        </w:tc>
        <w:tc>
          <w:tcPr>
            <w:tcW w:w="80" w:type="dxa"/>
            <w:vAlign w:val="bottom"/>
          </w:tcPr>
          <w:p>
            <w:pPr>
              <w:spacing w:after="0"/>
              <w:rPr>
                <w:sz w:val="19"/>
                <w:szCs w:val="19"/>
                <w:color w:val="auto"/>
              </w:rPr>
            </w:pPr>
          </w:p>
        </w:tc>
        <w:tc>
          <w:tcPr>
            <w:tcW w:w="1560" w:type="dxa"/>
            <w:vAlign w:val="bottom"/>
          </w:tcPr>
          <w:p>
            <w:pPr>
              <w:jc w:val="right"/>
              <w:ind w:right="97"/>
              <w:spacing w:after="0"/>
              <w:rPr>
                <w:sz w:val="20"/>
                <w:szCs w:val="20"/>
                <w:color w:val="auto"/>
              </w:rPr>
            </w:pPr>
            <w:r>
              <w:rPr>
                <w:rFonts w:ascii="Arial" w:cs="Arial" w:eastAsia="Arial" w:hAnsi="Arial"/>
                <w:sz w:val="18"/>
                <w:szCs w:val="18"/>
                <w:color w:val="auto"/>
              </w:rPr>
              <w:t>(70)</w:t>
            </w: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(14,912)</w:t>
            </w:r>
          </w:p>
        </w:tc>
        <w:tc>
          <w:tcPr>
            <w:tcW w:w="9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w w:val="94"/>
              </w:rPr>
              <w:t>(5,423)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(9,489)</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175</w:t>
            </w:r>
          </w:p>
        </w:tc>
      </w:tr>
    </w:tbl>
    <w:p>
      <w:pPr>
        <w:spacing w:after="0" w:line="242" w:lineRule="exact"/>
        <w:rPr>
          <w:sz w:val="20"/>
          <w:szCs w:val="20"/>
          <w:color w:val="auto"/>
        </w:rPr>
      </w:pPr>
    </w:p>
    <w:p>
      <w:pPr>
        <w:ind w:right="40" w:firstLine="405"/>
        <w:spacing w:after="0" w:line="342" w:lineRule="auto"/>
        <w:rPr>
          <w:sz w:val="20"/>
          <w:szCs w:val="20"/>
          <w:color w:val="auto"/>
        </w:rPr>
      </w:pPr>
      <w:r>
        <w:rPr>
          <w:rFonts w:ascii="Arial" w:cs="Arial" w:eastAsia="Arial" w:hAnsi="Arial"/>
          <w:sz w:val="16"/>
          <w:szCs w:val="16"/>
          <w:color w:val="auto"/>
        </w:rPr>
        <w:t>Interest income was $0.1 million for the six months ended June 30, 2021 compared to $0.023 million for the comparable period in the prior year. This increase in interest income was primarily related to an increase in our cash and cash equivalent balances after the Merger closed on March 11, 2021.</w:t>
      </w:r>
    </w:p>
    <w:p>
      <w:pPr>
        <w:spacing w:after="0" w:line="70" w:lineRule="exact"/>
        <w:rPr>
          <w:sz w:val="20"/>
          <w:szCs w:val="20"/>
          <w:color w:val="auto"/>
        </w:rPr>
      </w:pPr>
    </w:p>
    <w:p>
      <w:pPr>
        <w:ind w:right="60" w:firstLine="405"/>
        <w:spacing w:after="0" w:line="263" w:lineRule="auto"/>
        <w:rPr>
          <w:sz w:val="20"/>
          <w:szCs w:val="20"/>
          <w:color w:val="auto"/>
        </w:rPr>
      </w:pPr>
      <w:r>
        <w:rPr>
          <w:rFonts w:ascii="Arial" w:cs="Arial" w:eastAsia="Arial" w:hAnsi="Arial"/>
          <w:sz w:val="18"/>
          <w:szCs w:val="18"/>
          <w:color w:val="auto"/>
        </w:rPr>
        <w:t>Interest expense was $0.5 million for the six months ended June 30, 2021 compared to $1.7 million for the comparable period in the prior year. The decrease was primarily due to the conversion of convertible notes in the second quarter of 2020 and the repayment of bank debt in the third quarter of 2020 and March 2021.</w:t>
      </w:r>
    </w:p>
    <w:p>
      <w:pPr>
        <w:spacing w:after="0" w:line="130" w:lineRule="exact"/>
        <w:rPr>
          <w:sz w:val="20"/>
          <w:szCs w:val="20"/>
          <w:color w:val="auto"/>
        </w:rPr>
      </w:pPr>
    </w:p>
    <w:p>
      <w:pPr>
        <w:jc w:val="both"/>
        <w:ind w:right="340" w:firstLine="405"/>
        <w:spacing w:after="0" w:line="279" w:lineRule="auto"/>
        <w:rPr>
          <w:sz w:val="20"/>
          <w:szCs w:val="20"/>
          <w:color w:val="auto"/>
        </w:rPr>
      </w:pPr>
      <w:r>
        <w:rPr>
          <w:rFonts w:ascii="Arial" w:cs="Arial" w:eastAsia="Arial" w:hAnsi="Arial"/>
          <w:sz w:val="17"/>
          <w:szCs w:val="17"/>
          <w:color w:val="auto"/>
        </w:rPr>
        <w:t>Other income (expense), net was $14.9 million for the six months ended June 30, 2021 compared to $5.4 million for the comparable period in the prior year. During the six months ended June 30, 2021, we recorded a loss of $8.8 million for the fair value change of redeemable convertible preferred stock warrant liability and a loss of $6.1 million for the fair value change of Private Placement warrant liability. During the six months ended June 30, 2020, we recorded a loss of $5.3 million for the fair value change of derivative liability related to our convertible notes.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ind w:right="40" w:firstLine="405"/>
        <w:spacing w:after="0" w:line="308" w:lineRule="auto"/>
        <w:rPr>
          <w:sz w:val="20"/>
          <w:szCs w:val="20"/>
          <w:color w:val="auto"/>
        </w:rPr>
      </w:pPr>
      <w:r>
        <w:rPr>
          <w:rFonts w:ascii="Arial" w:cs="Arial" w:eastAsia="Arial" w:hAnsi="Arial"/>
          <w:sz w:val="17"/>
          <w:szCs w:val="17"/>
          <w:color w:val="auto"/>
        </w:rPr>
        <w:t>We were subject to income taxes in the United States, Hong Kong, Thailand and China for the six months ended June 30, 2021 and 2020. Our income tax expense for six months ended June 30, 2021 and 2020 was not material to the Company’s condensed consolidated financial statements.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auto"/>
        </w:rPr>
        <w:t>Our primary requirements for liquidity and capital are working capital, inventory management, capital expenditures, public company costs and general corporate needs. We expect these needs to continue as we develop and grow our business. Prior to the Merger, we primarily funded our operations from the net proceeds from sales of our preferred convertible stock and convertible notes, borrowing under our loan and security agreement with Runway Growth Credit Fund, Inc. and product revenue. Subsequent to the Merger, our principal sources of liquidity have been and are expected to be our cash and cash equivalents and product revenues.</w:t>
      </w:r>
    </w:p>
    <w:p>
      <w:pPr>
        <w:spacing w:after="0" w:line="134" w:lineRule="exact"/>
        <w:rPr>
          <w:sz w:val="20"/>
          <w:szCs w:val="20"/>
          <w:color w:val="auto"/>
        </w:rPr>
      </w:pPr>
    </w:p>
    <w:p>
      <w:pPr>
        <w:ind w:right="20" w:firstLine="405"/>
        <w:spacing w:after="0" w:line="287" w:lineRule="auto"/>
        <w:rPr>
          <w:sz w:val="20"/>
          <w:szCs w:val="20"/>
          <w:color w:val="auto"/>
        </w:rPr>
      </w:pPr>
      <w:r>
        <w:rPr>
          <w:rFonts w:ascii="Arial" w:cs="Arial" w:eastAsia="Arial" w:hAnsi="Arial"/>
          <w:sz w:val="16"/>
          <w:szCs w:val="16"/>
          <w:color w:val="auto"/>
        </w:rPr>
        <w:t>As of June 30, 2021 we had an accumulated deficit of $262.3 million and cash and cash equivalents of $240.1 million. We have experienced recurring losses from operations, and negative cash flows from operations, and we expect to continue operating at a loss and to have negative cash flows from operations for the foreseeable future. We believe our cash and cash equivalents on hand, together with cash we expect to generate from future operations, will be sufficient to meet our working capital and capital expenditure requirements for a period of at least twelve months from the date of this Quarterly Report on Form 10-Q. However, because we are in the growth stage of our business and operate in an emerging field of technology, we expect to continue to invest in research and development and expand our sales and marketing teams worldwide. We are likely to require additional capital to respond to technological advancements, competitive dynamics or technologies, customer demands, business opportunities, challenges, acquisitions or unforeseen circumstances and in either the short-term or long-term may determine to engage in equity or debt financings or enter into credit facilities for other reasons. If we are unable to obtain adequate financing or financing on terms satisfactory to us, when we require it, our ability to continue to grow or support our business and to respond to business challenges could be significantly limited. In particular, the widespread COVID-19 pandemic, including variants, has resulted in, and may continue to result in, significant disruption of global financial markets, reducing our ability to access capital. If we are unable to raise additional funds when or on the terms desired, our business, financial condition and results of operations could be adversely affected.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PIPE Investment</w:t>
      </w:r>
    </w:p>
    <w:p>
      <w:pPr>
        <w:spacing w:after="0" w:line="171" w:lineRule="exact"/>
        <w:rPr>
          <w:sz w:val="20"/>
          <w:szCs w:val="20"/>
          <w:color w:val="auto"/>
        </w:rPr>
      </w:pPr>
    </w:p>
    <w:p>
      <w:pPr>
        <w:ind w:right="180" w:firstLine="405"/>
        <w:spacing w:after="0" w:line="257" w:lineRule="auto"/>
        <w:rPr>
          <w:sz w:val="20"/>
          <w:szCs w:val="20"/>
          <w:color w:val="auto"/>
        </w:rPr>
      </w:pPr>
      <w:r>
        <w:rPr>
          <w:rFonts w:ascii="Arial" w:cs="Arial" w:eastAsia="Arial" w:hAnsi="Arial"/>
          <w:sz w:val="18"/>
          <w:szCs w:val="18"/>
          <w:color w:val="auto"/>
        </w:rPr>
        <w:t>On December 21, 2020, concurrently with the execution of the Merger Agreement, CLA entered into subscription agreements with certain institutional and accredited investors (collectively, the “PIPE Investors”), pursuant to which the PIPE Investors agreed to purchase, in the aggregate, 10,000,000 shares of Ouster common stock at $10.00 per share for an aggregate commitment amount of $100,000,000 (the “PIPE Investment”), a portion of which was funded by certain affiliates of Colonnade Sponsor LLC, CLA’s sponsor (the “Sponsor”). The PIPE Investment was consummated substantially concurrently with the closing of the Merger.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Arrangements</w:t>
      </w:r>
    </w:p>
    <w:p>
      <w:pPr>
        <w:spacing w:after="0" w:line="171" w:lineRule="exact"/>
        <w:rPr>
          <w:sz w:val="20"/>
          <w:szCs w:val="20"/>
          <w:color w:val="auto"/>
        </w:rPr>
      </w:pPr>
    </w:p>
    <w:p>
      <w:pPr>
        <w:ind w:right="60" w:firstLine="405"/>
        <w:spacing w:after="0" w:line="263" w:lineRule="auto"/>
        <w:rPr>
          <w:sz w:val="20"/>
          <w:szCs w:val="20"/>
          <w:color w:val="auto"/>
        </w:rPr>
      </w:pPr>
      <w:r>
        <w:rPr>
          <w:rFonts w:ascii="Arial" w:cs="Arial" w:eastAsia="Arial" w:hAnsi="Arial"/>
          <w:sz w:val="18"/>
          <w:szCs w:val="18"/>
          <w:color w:val="auto"/>
        </w:rPr>
        <w:t>On November 27, 2018, we entered into a Loan and Security Agreement with Runway Growth Credit Fund, Inc. (“Runway Loan and Security Agreement”) and borrowed $10.0 million per the terms of that agreement with a loan maturity date of November 15, 2021. The loan carried an interest rate equal to LIBOR plus 8.50%. We repaid $3.0 million of the loan in August 2020.</w:t>
      </w:r>
    </w:p>
    <w:p>
      <w:pPr>
        <w:spacing w:after="0" w:line="130"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On March 26, 2021 we terminated the Runway Loan and Security Agreement and repaid the $7.0 million principal amount outstanding as well as interest and fees amounting to $0.4 million. We incurred no prepayment fees in connection with the termination and all liens and security interests securing the loan made pursuant to the Runway Loan and Security Agreement were released upon termination. As of June 30, 2021 and December 31, 2020, the outstanding principal balance of the loan was nil and $7.0 million,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Summary</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3"/>
          </w:tcPr>
          <w:p>
            <w:pPr>
              <w:jc w:val="right"/>
              <w:ind w:right="555"/>
              <w:spacing w:after="0"/>
              <w:rPr>
                <w:sz w:val="20"/>
                <w:szCs w:val="20"/>
                <w:color w:val="auto"/>
              </w:rPr>
            </w:pPr>
            <w:r>
              <w:rPr>
                <w:rFonts w:ascii="Arial" w:cs="Arial" w:eastAsia="Arial" w:hAnsi="Arial"/>
                <w:sz w:val="14"/>
                <w:szCs w:val="14"/>
                <w:b w:val="1"/>
                <w:bCs w:val="1"/>
                <w:color w:val="auto"/>
              </w:rPr>
              <w:t>Six Months Ended June 30,</w:t>
            </w:r>
          </w:p>
        </w:tc>
      </w:tr>
      <w:tr>
        <w:trPr>
          <w:trHeight w:val="187"/>
        </w:trPr>
        <w:tc>
          <w:tcPr>
            <w:tcW w:w="39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r>
      <w:tr>
        <w:trPr>
          <w:trHeight w:val="183"/>
        </w:trPr>
        <w:tc>
          <w:tcPr>
            <w:tcW w:w="392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20" w:type="dxa"/>
            <w:vAlign w:val="bottom"/>
            <w:gridSpan w:val="3"/>
          </w:tcPr>
          <w:p>
            <w:pPr>
              <w:jc w:val="right"/>
              <w:ind w:right="735"/>
              <w:spacing w:after="0"/>
              <w:rPr>
                <w:sz w:val="20"/>
                <w:szCs w:val="20"/>
                <w:color w:val="auto"/>
              </w:rPr>
            </w:pPr>
            <w:r>
              <w:rPr>
                <w:rFonts w:ascii="Arial" w:cs="Arial" w:eastAsia="Arial" w:hAnsi="Arial"/>
                <w:sz w:val="14"/>
                <w:szCs w:val="14"/>
                <w:b w:val="1"/>
                <w:bCs w:val="1"/>
                <w:color w:val="auto"/>
              </w:rPr>
              <w:t>(dollars in thousands)</w:t>
            </w:r>
          </w:p>
        </w:tc>
      </w:tr>
      <w:tr>
        <w:trPr>
          <w:trHeight w:val="231"/>
        </w:trPr>
        <w:tc>
          <w:tcPr>
            <w:tcW w:w="3920" w:type="dxa"/>
            <w:vAlign w:val="bottom"/>
            <w:shd w:val="clear" w:color="auto" w:fill="CCEEFF"/>
          </w:tcPr>
          <w:p>
            <w:pPr>
              <w:jc w:val="center"/>
              <w:ind w:right="1530"/>
              <w:spacing w:after="0"/>
              <w:rPr>
                <w:sz w:val="20"/>
                <w:szCs w:val="20"/>
                <w:color w:val="auto"/>
              </w:rPr>
            </w:pPr>
            <w:r>
              <w:rPr>
                <w:rFonts w:ascii="Arial" w:cs="Arial" w:eastAsia="Arial" w:hAnsi="Arial"/>
                <w:sz w:val="18"/>
                <w:szCs w:val="18"/>
                <w:color w:val="auto"/>
                <w:w w:val="90"/>
              </w:rPr>
              <w:t>Net cash provided by (used in):</w:t>
            </w:r>
          </w:p>
        </w:tc>
        <w:tc>
          <w:tcPr>
            <w:tcW w:w="43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30"/>
        </w:trPr>
        <w:tc>
          <w:tcPr>
            <w:tcW w:w="3920" w:type="dxa"/>
            <w:vAlign w:val="bottom"/>
          </w:tcPr>
          <w:p>
            <w:pPr>
              <w:jc w:val="center"/>
              <w:ind w:right="1490"/>
              <w:spacing w:after="0"/>
              <w:rPr>
                <w:sz w:val="20"/>
                <w:szCs w:val="20"/>
                <w:color w:val="auto"/>
              </w:rPr>
            </w:pPr>
            <w:r>
              <w:rPr>
                <w:rFonts w:ascii="Arial" w:cs="Arial" w:eastAsia="Arial" w:hAnsi="Arial"/>
                <w:sz w:val="18"/>
                <w:szCs w:val="18"/>
                <w:color w:val="auto"/>
                <w:w w:val="92"/>
              </w:rPr>
              <w:t>Operating activities</w:t>
            </w:r>
          </w:p>
        </w:tc>
        <w:tc>
          <w:tcPr>
            <w:tcW w:w="4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(28,346)</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(24,269)</w:t>
            </w:r>
          </w:p>
        </w:tc>
      </w:tr>
      <w:tr>
        <w:trPr>
          <w:trHeight w:val="230"/>
        </w:trPr>
        <w:tc>
          <w:tcPr>
            <w:tcW w:w="3920" w:type="dxa"/>
            <w:vAlign w:val="bottom"/>
            <w:shd w:val="clear" w:color="auto" w:fill="CCEEFF"/>
          </w:tcPr>
          <w:p>
            <w:pPr>
              <w:jc w:val="center"/>
              <w:ind w:right="1550"/>
              <w:spacing w:after="0"/>
              <w:rPr>
                <w:sz w:val="20"/>
                <w:szCs w:val="20"/>
                <w:color w:val="auto"/>
              </w:rPr>
            </w:pPr>
            <w:r>
              <w:rPr>
                <w:rFonts w:ascii="Arial" w:cs="Arial" w:eastAsia="Arial" w:hAnsi="Arial"/>
                <w:sz w:val="18"/>
                <w:szCs w:val="18"/>
                <w:color w:val="auto"/>
                <w:w w:val="93"/>
              </w:rPr>
              <w:t>Investing activities</w:t>
            </w:r>
          </w:p>
        </w:tc>
        <w:tc>
          <w:tcPr>
            <w:tcW w:w="43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(1,775)</w:t>
            </w:r>
          </w:p>
        </w:tc>
      </w:tr>
      <w:tr>
        <w:trPr>
          <w:trHeight w:val="230"/>
        </w:trPr>
        <w:tc>
          <w:tcPr>
            <w:tcW w:w="3920" w:type="dxa"/>
            <w:vAlign w:val="bottom"/>
          </w:tcPr>
          <w:p>
            <w:pPr>
              <w:jc w:val="center"/>
              <w:ind w:right="1490"/>
              <w:spacing w:after="0"/>
              <w:rPr>
                <w:sz w:val="20"/>
                <w:szCs w:val="20"/>
                <w:color w:val="auto"/>
              </w:rPr>
            </w:pPr>
            <w:r>
              <w:rPr>
                <w:rFonts w:ascii="Arial" w:cs="Arial" w:eastAsia="Arial" w:hAnsi="Arial"/>
                <w:sz w:val="18"/>
                <w:szCs w:val="18"/>
                <w:color w:val="auto"/>
                <w:w w:val="93"/>
              </w:rPr>
              <w:t>Financing activities</w:t>
            </w:r>
          </w:p>
        </w:tc>
        <w:tc>
          <w:tcPr>
            <w:tcW w:w="4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8"/>
                <w:szCs w:val="18"/>
                <w:color w:val="auto"/>
              </w:rPr>
              <w:t>257,791</w:t>
            </w:r>
          </w:p>
        </w:tc>
        <w:tc>
          <w:tcPr>
            <w:tcW w:w="3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20,633</w:t>
            </w:r>
          </w:p>
        </w:tc>
      </w:tr>
      <w:tr>
        <w:trPr>
          <w:trHeight w:val="904"/>
        </w:trPr>
        <w:tc>
          <w:tcPr>
            <w:tcW w:w="3920" w:type="dxa"/>
            <w:vAlign w:val="bottom"/>
          </w:tcPr>
          <w:p>
            <w:pPr>
              <w:spacing w:after="0"/>
              <w:rPr>
                <w:sz w:val="24"/>
                <w:szCs w:val="24"/>
                <w:color w:val="auto"/>
              </w:rPr>
            </w:pPr>
          </w:p>
        </w:tc>
        <w:tc>
          <w:tcPr>
            <w:tcW w:w="4360" w:type="dxa"/>
            <w:vAlign w:val="bottom"/>
          </w:tcPr>
          <w:p>
            <w:pPr>
              <w:jc w:val="right"/>
              <w:ind w:right="2470"/>
              <w:spacing w:after="0"/>
              <w:rPr>
                <w:sz w:val="20"/>
                <w:szCs w:val="20"/>
                <w:color w:val="auto"/>
              </w:rPr>
            </w:pPr>
            <w:r>
              <w:rPr>
                <w:rFonts w:ascii="Arial" w:cs="Arial" w:eastAsia="Arial" w:hAnsi="Arial"/>
                <w:sz w:val="18"/>
                <w:szCs w:val="18"/>
                <w:color w:val="auto"/>
              </w:rPr>
              <w:t>40</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15"/>
        </w:trPr>
        <w:tc>
          <w:tcPr>
            <w:tcW w:w="3920" w:type="dxa"/>
            <w:vAlign w:val="bottom"/>
            <w:tcBorders>
              <w:bottom w:val="single" w:sz="8" w:color="9A9A9A"/>
            </w:tcBorders>
          </w:tcPr>
          <w:p>
            <w:pPr>
              <w:spacing w:after="0"/>
              <w:rPr>
                <w:sz w:val="10"/>
                <w:szCs w:val="10"/>
                <w:color w:val="auto"/>
              </w:rPr>
            </w:pPr>
          </w:p>
        </w:tc>
        <w:tc>
          <w:tcPr>
            <w:tcW w:w="43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71" w:lineRule="exact"/>
        <w:rPr>
          <w:sz w:val="20"/>
          <w:szCs w:val="20"/>
          <w:color w:val="auto"/>
        </w:rPr>
      </w:pPr>
    </w:p>
    <w:p>
      <w:pPr>
        <w:ind w:right="80" w:firstLine="405"/>
        <w:spacing w:after="0" w:line="273" w:lineRule="auto"/>
        <w:rPr>
          <w:sz w:val="20"/>
          <w:szCs w:val="20"/>
          <w:color w:val="auto"/>
        </w:rPr>
      </w:pPr>
      <w:r>
        <w:rPr>
          <w:rFonts w:ascii="Arial" w:cs="Arial" w:eastAsia="Arial" w:hAnsi="Arial"/>
          <w:sz w:val="17"/>
          <w:szCs w:val="17"/>
          <w:color w:val="auto"/>
        </w:rPr>
        <w:t>During the six months ended June 30, 2021, operating activities used $28.3 million in cash. The primary factors affecting our operating cash flows during this period were our net loss of $53.0 million, impacted by our non-cash charges of $30.0 million primarily consisting of stock-based compensation of $11.4 million, a $14.9 million change in fair value of warrant liabilities, depreciation and amortization of $2.3 million, change in right-of-use asset of $1.0 million, interest expense and amortization of debt issuance costs and debt discount of $0.3 million. The changes in our operating assets and liabilities of $5.4 million were primarily due to a decrease in operating lease liability of $1.4 million, a decrease in accounts payable of $3.3 million, an increase in accounts receivable of $2.3 million and an increase in accrued and other liabilities of $1.7 million.</w:t>
      </w:r>
    </w:p>
    <w:p>
      <w:pPr>
        <w:spacing w:after="0" w:line="124" w:lineRule="exact"/>
        <w:rPr>
          <w:sz w:val="20"/>
          <w:szCs w:val="20"/>
          <w:color w:val="auto"/>
        </w:rPr>
      </w:pPr>
    </w:p>
    <w:p>
      <w:pPr>
        <w:ind w:right="180" w:firstLine="405"/>
        <w:spacing w:after="0" w:line="293" w:lineRule="auto"/>
        <w:rPr>
          <w:sz w:val="20"/>
          <w:szCs w:val="20"/>
          <w:color w:val="auto"/>
        </w:rPr>
      </w:pPr>
      <w:r>
        <w:rPr>
          <w:rFonts w:ascii="Arial" w:cs="Arial" w:eastAsia="Arial" w:hAnsi="Arial"/>
          <w:sz w:val="16"/>
          <w:szCs w:val="16"/>
          <w:color w:val="auto"/>
        </w:rPr>
        <w:t>During the six months ended June 30, 2020, operating activities used $24.3 million in cash. The primary factors affecting our operating cash flows during this period were our net loss of $30.0 million, impacted by our non-cash charges of $11.7 million primarily consisting of a $5.3 million change in fair value of derivative liability, inventory write down of $1.8, interest expense and amortization of debt issuance costs and debt discount of $1.1 million, depreciation and amortization of $1.7 million, change in right-of-use asset of $1.1 million, stock-based compensation of $0.6 million. The changes in our operating assets and liabilities of $6.0 million were primarily due to an increase in inventories of $2.9 million, and an increase in accounts receivable of $0.2 million, an decrease of accounts payable of $0.8 million, and a decrease in accrued and other current liabilities of $2.2 million.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71"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During the six months ended June 30, 2021, cash used in investing activities was $0.7 million, which was related to purchases of property, plant and equipment.</w:t>
      </w:r>
    </w:p>
    <w:p>
      <w:pPr>
        <w:spacing w:after="0" w:line="116"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During the six months ended June 30, 2020, cash used in investing activities was $1.8 million, which was related to purchases of property, plant and equipment.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71"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During the six months ended June 30, 2021, cash provided by financing activities was $257.8 million, consisting primarily of $291.5 million proceeds (net of $8.4 million of pre-Merger costs relating to CLA) from the Merger and PIPE Investment offset by offerings costs of $27.1 million, and proceeds from exercise of stock options of $0.5 million, partially offset by repayment of debt of $7.0 million. There were promissory notes to related parties of $5.0 million that were issued and repaid during the six months ended June 30, 2021.</w:t>
      </w:r>
    </w:p>
    <w:p>
      <w:pPr>
        <w:spacing w:after="0" w:line="133"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During the six months ended June 30, 2020, cash provided by financing activities was $20.6 million, which was mainly related to the proceeds from issuance of Series B redeemable convertible preferred stock.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As of June 30, 2021, we did not have any off-balance sheet arrangements, that have or are reasonably likely to have a current or future effect on our financial condition, results of operations, or cash flows.</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There have been no material updates to our contractual obligations from those disclosed in our Quarterly Report on Form 10-Q for the three months ended March 31, 2021.</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Our discussion and analysis of our financial condition and results of operations are based upon our financial statements, which have been prepared in accordance with GAAP. These principles require us to make estimates and judgments that affect the reported amounts of assets, liabilities, revenue, cost of revenue and expenses, and related disclosures. We base our estimates on historical experience and on various other assumptions that we believe to be reasonable under the circumstances. To the extent that there are material differences between these estimates and our actual results, our future financial statements will be affected.</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firstLine="405"/>
        <w:spacing w:after="0" w:line="263" w:lineRule="auto"/>
        <w:rPr>
          <w:sz w:val="20"/>
          <w:szCs w:val="20"/>
          <w:color w:val="auto"/>
        </w:rPr>
      </w:pPr>
      <w:r>
        <w:rPr>
          <w:rFonts w:ascii="Arial" w:cs="Arial" w:eastAsia="Arial" w:hAnsi="Arial"/>
          <w:sz w:val="18"/>
          <w:szCs w:val="18"/>
          <w:color w:val="auto"/>
        </w:rPr>
        <w:t>There were no material changes to our critical accounting policies and estimates as of and for the three and six months ended June 30, 2021, as compared to the critical accounting policies and estimates described in “Critical Accounting Policies and Estimates” in Exhibit 99.3 to our Super 8-K filed with the SEC on March 15,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ind w:right="180" w:firstLine="405"/>
        <w:spacing w:after="0" w:line="257" w:lineRule="auto"/>
        <w:rPr>
          <w:sz w:val="20"/>
          <w:szCs w:val="20"/>
          <w:color w:val="auto"/>
        </w:rPr>
      </w:pPr>
      <w:r>
        <w:rPr>
          <w:rFonts w:ascii="Arial" w:cs="Arial" w:eastAsia="Arial" w:hAnsi="Arial"/>
          <w:sz w:val="18"/>
          <w:szCs w:val="18"/>
          <w:color w:val="auto"/>
        </w:rPr>
        <w:t>Please refer to Note 2 in our unaudited condensed consolidated financial statements contained elsewhere in this Quarterly Report on Form 10-Q for recently adopted accounting pronouncements and recently issued accounting pronouncements not yet adopted as of the date of this Quarterly Report on Form 10-Q. Based on our public float as of June 30, 2021, we expect to become a large accelerated filer, and lose emerging growth company status, as of December 31, 2021. As of December 31, 2021, we will be required to adopt new or revised accounting standards when they are applicable to public companies that are not emerging growth companies.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ind w:right="220" w:firstLine="405"/>
        <w:spacing w:after="0" w:line="263" w:lineRule="auto"/>
        <w:rPr>
          <w:sz w:val="20"/>
          <w:szCs w:val="20"/>
          <w:color w:val="auto"/>
        </w:rPr>
      </w:pPr>
      <w:r>
        <w:rPr>
          <w:rFonts w:ascii="Arial" w:cs="Arial" w:eastAsia="Arial" w:hAnsi="Arial"/>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spacing w:after="0" w:line="130" w:lineRule="exact"/>
        <w:rPr>
          <w:sz w:val="20"/>
          <w:szCs w:val="20"/>
          <w:color w:val="auto"/>
        </w:rPr>
      </w:pPr>
    </w:p>
    <w:p>
      <w:pPr>
        <w:ind w:firstLine="405"/>
        <w:spacing w:after="0" w:line="263" w:lineRule="auto"/>
        <w:rPr>
          <w:sz w:val="20"/>
          <w:szCs w:val="20"/>
          <w:color w:val="auto"/>
        </w:rPr>
      </w:pPr>
      <w:r>
        <w:rPr>
          <w:rFonts w:ascii="Arial" w:cs="Arial" w:eastAsia="Arial" w:hAnsi="Arial"/>
          <w:sz w:val="18"/>
          <w:szCs w:val="18"/>
          <w:color w:val="auto"/>
        </w:rPr>
        <w:t>We do not believe that inflation has had a material effect on our business, results of operations or financial condition. Nonetheless, if our costs were to become subject to significant inflationary pressures, we may not be able to fully offset such higher costs. Our inability or failure to do so could harm our business, results of operations or financial condition.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71" w:lineRule="exact"/>
        <w:rPr>
          <w:sz w:val="20"/>
          <w:szCs w:val="20"/>
          <w:color w:val="auto"/>
        </w:rPr>
      </w:pPr>
    </w:p>
    <w:p>
      <w:pPr>
        <w:ind w:right="20" w:firstLine="405"/>
        <w:spacing w:after="0" w:line="263" w:lineRule="auto"/>
        <w:rPr>
          <w:sz w:val="20"/>
          <w:szCs w:val="20"/>
          <w:color w:val="auto"/>
        </w:rPr>
      </w:pPr>
      <w:r>
        <w:rPr>
          <w:rFonts w:ascii="Arial" w:cs="Arial" w:eastAsia="Arial" w:hAnsi="Arial"/>
          <w:sz w:val="18"/>
          <w:szCs w:val="18"/>
          <w:color w:val="auto"/>
        </w:rPr>
        <w:t>As of June 30, 2021, we had cash and cash equivalents of approximately $240.1 million, out of which $238.9 million consisted of institutional money market funds, which carries a degree of interest rate risk. A hypothetical 10% change in interest rates would not have a material impact on our financial condition or results of operations due to the short-term nature of our investment portfolio.</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71"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Our results of operations and cash flows are subject to fluctuations due to changes in foreign currency exchange rates. Substantially all of our revenue is generated in U.S. dollars. Our expenses are generally denominated in the currencies of the jurisdictions in which we conduct our operations, which are primarily in the United States. and to a lesser extent in Asia and Europe. Our results of operations and cash flows are, therefore, subject to fluctuations due to changes in foreign currency exchange rates and may be adversely affected in the future due to changes in foreign exchange rates. The effect of a hypothetical 10% change in foreign currency exchange rates applicable to our business would not have a material impact on our historical consolidated financial statements. To date, we have not engaged in any hedging strategies. As our international operations grow, we will continue to reassess our approach to manage our risk relating to fluctuations in currency rates.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effectiveness of controls and procedures</w:t>
      </w:r>
    </w:p>
    <w:p>
      <w:pPr>
        <w:spacing w:after="0" w:line="171" w:lineRule="exact"/>
        <w:rPr>
          <w:sz w:val="20"/>
          <w:szCs w:val="20"/>
          <w:color w:val="auto"/>
        </w:rPr>
      </w:pPr>
    </w:p>
    <w:p>
      <w:pPr>
        <w:ind w:right="80" w:firstLine="405"/>
        <w:spacing w:after="0" w:line="254" w:lineRule="auto"/>
        <w:rPr>
          <w:sz w:val="20"/>
          <w:szCs w:val="20"/>
          <w:color w:val="auto"/>
        </w:rPr>
      </w:pPr>
      <w:r>
        <w:rPr>
          <w:rFonts w:ascii="Arial" w:cs="Arial" w:eastAsia="Arial" w:hAnsi="Arial"/>
          <w:sz w:val="18"/>
          <w:szCs w:val="18"/>
          <w:color w:val="auto"/>
        </w:rPr>
        <w:t>We maintain disclosure controls and procedures (as that term is defined in Rules 13a-15(e) and 15d-15(e) under the Exchange Act) that are designed to ensure that information required to be disclosed in our reports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disclosures. 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71"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evaluated, as of the end of the period covered by this Quarterly Report on Form 10-Q, the effectiveness of our disclosure controls and procedures (as that term is defined in Rules 13a-15(e) and 15d-15(e) under the Exchange Act). Based on that evaluation, our principal executive officer and principal financial officer concluded that our disclosure controls and procedures were not effective as of June 30, 2021 due to the material weaknesses in our internal control over financial reporting described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Weaknesses and Remediation Plan</w:t>
      </w:r>
    </w:p>
    <w:p>
      <w:pPr>
        <w:spacing w:after="0" w:line="171" w:lineRule="exact"/>
        <w:rPr>
          <w:sz w:val="20"/>
          <w:szCs w:val="20"/>
          <w:color w:val="auto"/>
        </w:rPr>
      </w:pPr>
    </w:p>
    <w:p>
      <w:pPr>
        <w:ind w:right="400" w:firstLine="405"/>
        <w:spacing w:after="0" w:line="263" w:lineRule="auto"/>
        <w:rPr>
          <w:sz w:val="20"/>
          <w:szCs w:val="20"/>
          <w:color w:val="auto"/>
        </w:rPr>
      </w:pPr>
      <w:r>
        <w:rPr>
          <w:rFonts w:ascii="Arial" w:cs="Arial" w:eastAsia="Arial" w:hAnsi="Arial"/>
          <w:sz w:val="18"/>
          <w:szCs w:val="18"/>
          <w:color w:val="auto"/>
        </w:rPr>
        <w:t>We identified material weaknesses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30" w:lineRule="exact"/>
        <w:rPr>
          <w:sz w:val="20"/>
          <w:szCs w:val="20"/>
          <w:color w:val="auto"/>
        </w:rPr>
      </w:pPr>
    </w:p>
    <w:p>
      <w:pPr>
        <w:ind w:right="240" w:firstLine="405"/>
        <w:spacing w:after="0" w:line="311" w:lineRule="auto"/>
        <w:rPr>
          <w:sz w:val="20"/>
          <w:szCs w:val="20"/>
          <w:color w:val="auto"/>
        </w:rPr>
      </w:pPr>
      <w:r>
        <w:rPr>
          <w:rFonts w:ascii="Arial" w:cs="Arial" w:eastAsia="Arial" w:hAnsi="Arial"/>
          <w:sz w:val="16"/>
          <w:szCs w:val="16"/>
          <w:color w:val="auto"/>
        </w:rPr>
        <w:t>We did not design and maintain an effective control environment commensurate with our financial reporting requirements. Specifically, we did not maintain a sufficient complement of personnel with an appropriate degree of internal controls and accounting knowledge, experience, and training commensurate with our accounting and reporting requirements. This material weakness contributed to the following additional material weaknesses:</w:t>
      </w:r>
    </w:p>
    <w:p>
      <w:pPr>
        <w:spacing w:after="0" w:line="41" w:lineRule="exact"/>
        <w:rPr>
          <w:sz w:val="20"/>
          <w:szCs w:val="20"/>
          <w:color w:val="auto"/>
        </w:rPr>
      </w:pPr>
    </w:p>
    <w:p>
      <w:pPr>
        <w:ind w:left="500" w:right="80" w:hanging="330"/>
        <w:spacing w:after="0" w:line="255" w:lineRule="auto"/>
        <w:tabs>
          <w:tab w:leader="none" w:pos="495"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did not design and maintain effective controls over the period-end financial reporting process to achieve complete, accurate and timely financial accounting, reporting and disclosures, including segregation of duties and adequate controls related to journal entries and certain other business processes, and verifying transactions are properly classified in the financial statements. This material weakness resulted in adjustments to several account balances and disclosures in the consolidated financial statements for the years ended December 31, 2019 and 2018, and adjustments to the equity and warrant liabilities accounts and related disclosures in the condensed consolidated financial statements for the three months ended March 31, 2021.</w:t>
      </w:r>
    </w:p>
    <w:p>
      <w:pPr>
        <w:spacing w:after="0" w:line="84" w:lineRule="exact"/>
        <w:rPr>
          <w:rFonts w:ascii="Arial" w:cs="Arial" w:eastAsia="Arial" w:hAnsi="Arial"/>
          <w:sz w:val="18"/>
          <w:szCs w:val="18"/>
          <w:color w:val="auto"/>
        </w:rPr>
      </w:pPr>
    </w:p>
    <w:p>
      <w:pPr>
        <w:ind w:left="500" w:right="80" w:hanging="330"/>
        <w:spacing w:after="0" w:line="269" w:lineRule="auto"/>
        <w:tabs>
          <w:tab w:leader="none" w:pos="495"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did not design and maintain effective controls over certain information technology (“IT”) general controls for information systems that are relevant to the preparation of our consolidated financial statements. Specifically, we did not design and maintain (i) program change management controls to ensure that information technology program and data changes affecting financial IT applications and underlying accounting records are identified, tested, authorized and implemented appropriately and (ii) user access controls to ensure appropriate segregation of duties and that adequately restrict user and privileged access to our financial applications, programs and data to appropriate personnel. This material weakness did not result in a material misstatement to the consolidated financial statements, however, the deficiencies, when aggregated, could impact maintaining effective segregation of duties, as well as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not be prevented or detected.</w:t>
      </w:r>
    </w:p>
    <w:p>
      <w:pPr>
        <w:spacing w:after="0" w:line="131" w:lineRule="exact"/>
        <w:rPr>
          <w:sz w:val="20"/>
          <w:szCs w:val="20"/>
          <w:color w:val="auto"/>
        </w:rPr>
      </w:pPr>
    </w:p>
    <w:p>
      <w:pPr>
        <w:ind w:right="460" w:firstLine="405"/>
        <w:spacing w:after="0" w:line="277" w:lineRule="auto"/>
        <w:rPr>
          <w:sz w:val="20"/>
          <w:szCs w:val="20"/>
          <w:color w:val="auto"/>
        </w:rPr>
      </w:pPr>
      <w:r>
        <w:rPr>
          <w:rFonts w:ascii="Arial" w:cs="Arial" w:eastAsia="Arial" w:hAnsi="Arial"/>
          <w:sz w:val="18"/>
          <w:szCs w:val="18"/>
          <w:color w:val="auto"/>
        </w:rPr>
        <w:t>Additionally, each of these material weaknesses could result in a misstatement of account balances or disclosures that would result in a material misstatement to the annual or interim consolidated financial statements that would not be prevented or detected.</w:t>
      </w:r>
    </w:p>
    <w:p>
      <w:pPr>
        <w:spacing w:after="0" w:line="116"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We have begun the process of, and are focused on, designing and implementing effective internal control measures to improve our internal control over financial reporting and remediate the material weaknesses. Our efforts include a number of actions:</w:t>
      </w:r>
    </w:p>
    <w:p>
      <w:pPr>
        <w:spacing w:after="0" w:line="62" w:lineRule="exact"/>
        <w:rPr>
          <w:sz w:val="20"/>
          <w:szCs w:val="20"/>
          <w:color w:val="auto"/>
        </w:rPr>
      </w:pPr>
    </w:p>
    <w:p>
      <w:pPr>
        <w:ind w:left="500" w:right="580" w:hanging="330"/>
        <w:spacing w:after="0" w:line="277" w:lineRule="auto"/>
        <w:tabs>
          <w:tab w:leader="none" w:pos="495"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are actively recruiting additional personnel, in addition to engaging and utilizing third party consultants and specialists to supplement our internal resources and segregate key functions within our business processes, where appropriate.</w:t>
      </w:r>
    </w:p>
    <w:p>
      <w:pPr>
        <w:spacing w:after="0" w:line="62" w:lineRule="exact"/>
        <w:rPr>
          <w:rFonts w:ascii="Arial" w:cs="Arial" w:eastAsia="Arial" w:hAnsi="Arial"/>
          <w:sz w:val="18"/>
          <w:szCs w:val="18"/>
          <w:color w:val="auto"/>
        </w:rPr>
      </w:pPr>
    </w:p>
    <w:p>
      <w:pPr>
        <w:ind w:left="500" w:right="440" w:hanging="330"/>
        <w:spacing w:after="0" w:line="277" w:lineRule="auto"/>
        <w:tabs>
          <w:tab w:leader="none" w:pos="495"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also continue to take actions to improve our IT general controls, segregation of duties controls, period-end financial reporting controls, and journal entry controls.</w:t>
      </w:r>
    </w:p>
    <w:p>
      <w:pPr>
        <w:spacing w:after="0" w:line="62" w:lineRule="exact"/>
        <w:rPr>
          <w:rFonts w:ascii="Arial" w:cs="Arial" w:eastAsia="Arial" w:hAnsi="Arial"/>
          <w:sz w:val="18"/>
          <w:szCs w:val="18"/>
          <w:color w:val="auto"/>
        </w:rPr>
      </w:pPr>
    </w:p>
    <w:p>
      <w:pPr>
        <w:ind w:left="500" w:right="180" w:hanging="330"/>
        <w:spacing w:after="0" w:line="296" w:lineRule="auto"/>
        <w:tabs>
          <w:tab w:leader="none" w:pos="495"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are implementing comprehensive access control protocols for our enterprise resource planning environment to implement restrictions on user and privileged access to certain applications, establishing additional controls over the preparation and review of journal entries, establishing additional controls to verify transactions are properly classified in the financial statements, implementing controls to review the activities for those users who have privileged access and program change management controls to ensure that IT program and data changes affecting financial IT applications and underlying accounting records are identified, tested, authorized and implemented appropriately.</w:t>
      </w:r>
    </w:p>
    <w:p>
      <w:pPr>
        <w:spacing w:after="0" w:line="107" w:lineRule="exact"/>
        <w:rPr>
          <w:sz w:val="20"/>
          <w:szCs w:val="20"/>
          <w:color w:val="auto"/>
        </w:rPr>
      </w:pPr>
    </w:p>
    <w:p>
      <w:pPr>
        <w:ind w:firstLine="405"/>
        <w:spacing w:after="0" w:line="263" w:lineRule="auto"/>
        <w:rPr>
          <w:sz w:val="20"/>
          <w:szCs w:val="20"/>
          <w:color w:val="auto"/>
        </w:rPr>
      </w:pPr>
      <w:r>
        <w:rPr>
          <w:rFonts w:ascii="Arial" w:cs="Arial" w:eastAsia="Arial" w:hAnsi="Arial"/>
          <w:sz w:val="18"/>
          <w:szCs w:val="18"/>
          <w:color w:val="auto"/>
        </w:rPr>
        <w:t>While these actions and planned actions are subject to ongoing management evaluation and will require validation and testing of the design and operating effectiveness of internal controls over a sustained period, we are committed to continuous improvement and will continue to diligently review our internal control over financial reporting.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71" w:lineRule="exact"/>
        <w:rPr>
          <w:sz w:val="20"/>
          <w:szCs w:val="20"/>
          <w:color w:val="auto"/>
        </w:rPr>
      </w:pPr>
    </w:p>
    <w:p>
      <w:pPr>
        <w:jc w:val="both"/>
        <w:ind w:right="200" w:firstLine="405"/>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that term is defined in Rules 13a-15(f) and 15d-15(f) under the Exchange Act) during the quarter ended June 30, 2021 that have materially affected, or are reasonably likely to materially affect, our internal control over financial reporting.</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ind w:right="280" w:firstLine="324"/>
        <w:spacing w:after="0" w:line="263" w:lineRule="auto"/>
        <w:rPr>
          <w:sz w:val="20"/>
          <w:szCs w:val="20"/>
          <w:color w:val="auto"/>
        </w:rPr>
      </w:pPr>
      <w:r>
        <w:rPr>
          <w:rFonts w:ascii="Arial" w:cs="Arial" w:eastAsia="Arial" w:hAnsi="Arial"/>
          <w:sz w:val="18"/>
          <w:szCs w:val="18"/>
          <w:color w:val="auto"/>
        </w:rPr>
        <w:t>On June 10, 2021, we received a letter from the SEC notifying us of an investigation and document subpoena. The subpoena seeks documents regarding projected financial information in CLA’s Form S-4 registration statement filed on December 22, 2020. We intend to cooperate with the SEC’s subpoena.</w:t>
      </w:r>
    </w:p>
    <w:p>
      <w:pPr>
        <w:spacing w:after="0" w:line="130"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From time to time, we have been and may again become involved in legal proceedings arising in the ordinary course of our business. We are not presently a party to any litigation or legal proceedings that we believe to be material and we are not aware of any pending or threatened litigation against us that we believe could have a material adverse effect on our business, operating results, financial condition or cash flows. See Part I, Item 1 “Financial Statements (Unaudited) — Note 7 — Commitments and Contingencies.”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As a result of the closing of the Merger, the risk factors previously disclosed in Part I, Item 1A of our Annual Report on Form 10-K for the fiscal year ended December 31, 2020 no longer apply. For risk factors relating to our business following the Merger, please refer to the section titled “Risk Factors” in the Proxy Statement/Prospectus filed with SEC on February 12, 2021, as updated by the risk factors disclosed in the section titled “Risk Factors” in our Form 8-K, filed with the SEC on March 15, 2021, as amended on July 12, 2021. Except for the new risk factor set forth below, there have been no material changes to such previously disclosed risk factors: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Operating as a Public Company</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Certain of our warrants are accounted for as liabilities and the changes in value of such warrants could have a material effect on our financial results.</w:t>
      </w:r>
    </w:p>
    <w:p>
      <w:pPr>
        <w:spacing w:after="0" w:line="206"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On April 12, 2021, the Acting Director of the Division of Corporation Finance and Acting Chief Accountant of the SEC together issued a statement regarding the accounting and reporting considerations for warrants issued by special purpose acquisition companies entitled “Staff Statement on Accounting and Reporting Considerations for Warrants Issued by Special Purpose Acquisition Companies (“SPACs”)” (the “SEC Statement”). Specifically, the SEC Statement focused on certain settlement terms and provisions related to certain tender offers following a business combination, which terms are similar to those contained in the warrant agreement governing our Private Placement warrants. We evaluated the accounting treatment of our 6,000,000 Private Placement warrants, and determined to classify such warrants as derivative liabilities measured at fair value, with changes in fair value each period reported in earnings. Due to the recurring fair value measurement, we expect that we will recognize non-cash gains or losses on our Private Placement warrants each reporting period and that the amount of such gains or losses could be material.</w:t>
      </w:r>
    </w:p>
    <w:p>
      <w:pPr>
        <w:spacing w:after="0" w:line="124" w:lineRule="exact"/>
        <w:rPr>
          <w:sz w:val="20"/>
          <w:szCs w:val="20"/>
          <w:color w:val="auto"/>
        </w:rPr>
      </w:pPr>
    </w:p>
    <w:p>
      <w:pPr>
        <w:ind w:right="80" w:firstLine="324"/>
        <w:spacing w:after="0" w:line="308" w:lineRule="auto"/>
        <w:rPr>
          <w:sz w:val="20"/>
          <w:szCs w:val="20"/>
          <w:color w:val="auto"/>
        </w:rPr>
      </w:pPr>
      <w:r>
        <w:rPr>
          <w:rFonts w:ascii="Arial" w:cs="Arial" w:eastAsia="Arial" w:hAnsi="Arial"/>
          <w:sz w:val="17"/>
          <w:szCs w:val="17"/>
          <w:color w:val="auto"/>
        </w:rPr>
        <w:t>The Company’s accounting treatment of the 6,000,000 Private Placement warrants and 9,999,996 Public warrants is based on its current interpretation of the SEC Statement and other guidance and may change in light of any further interpretive guidance, as may be applicable.</w:t>
      </w:r>
    </w:p>
    <w:p>
      <w:pPr>
        <w:spacing w:after="0" w:line="9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The restatement of CLA’s financial statements may lead to additional risks and uncertainties, including regulatory, litigation, stockholder or other actions, loss of investor and counterparty confidence and negative impacts on our stock price.</w:t>
      </w:r>
    </w:p>
    <w:p>
      <w:pPr>
        <w:spacing w:after="0" w:line="116"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As disclosed in the Company’s Current Report on Form 8-K filed with the SEC on May 14, 2021, on May 13, 2021, the Audit Committee of our Board of Directors (the "Audit Committee"), in response to the SEC Statement after discussion with management of the Company and based on management’s consultation with Marcum LLP, CLA’s independent registered public accounting firm prior to the Merger, and its legal advisors, concluded that CLA’s previously issued consolidated financial statements as of and for the year ended December 31, 2020 included in CLA’s Annual Report on Form 10-K for the year ended December 31, 2020 should be restated to reflect the impact of the change in accounting for the warrants and accordingly, should no longer be relied upon. Accordingly, the Company filed an amended Annual Report on Form 10-K on June 30, 2021 to restate CLA’s previously issued consolidated financial statements as of and for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As a result of the restatement of CLA’s previously issued consolidated financial statements for the year ended December 31, 2020, we could be subject to regulatory, litigation, stockholder, or other actions in connection with the restatement, which would, regardless of the outcome, consume management's time and attention and may result in additional legal, accounting, and other costs. If we do not prevail in any such proceedings, we could be required to pay damages or settlement costs, which could be material. In addition, the restatement and related matters could impair our reputation or could cause our customers, stockholders, or other counterparties to lose confidence in us. Any of these occurrences could have a material adverse effect on our business, results of operations, financial condition, and stock price.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sold no securities during the three months ended June 30, 2021 that were not registered under the Securities Act.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175"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On August 25, 2020, CLA consummated an initial public offering of 20,000,000 units, each consisting of one Class A ordinary share, $0.0001 par value, and one-half of one redeemable warrant (the “Units”). The Units sold in the Initial Public Offering were sold at an offering price of $10.00 per unit, generating gross proceeds of $200,000,000. BTIG acted as sole book-running manager, of the initial public offering. The securities in the offering were registered under the Securities Act on a registration statement on Form S-1 (No. 333-240378). The Securities and Exchange Commission declared the registration statement effective on August 20, 2020. The proceeds from the initial public offering were used as consideration for the Merger and any remaining proceeds will be used for general corporate purposes.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75"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We did not purchase any of our equity securities that are registered under Section 12(b) of the Exchange Act during the three months ended June 30,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8760"/>
        <w:spacing w:after="0"/>
        <w:rPr>
          <w:sz w:val="20"/>
          <w:szCs w:val="20"/>
          <w:color w:val="auto"/>
        </w:rPr>
      </w:pPr>
      <w:r>
        <w:rPr>
          <w:rFonts w:ascii="Arial" w:cs="Arial" w:eastAsia="Arial" w:hAnsi="Arial"/>
          <w:sz w:val="16"/>
          <w:szCs w:val="16"/>
          <w:b w:val="1"/>
          <w:bCs w:val="1"/>
          <w:color w:val="auto"/>
        </w:rPr>
        <w:t>Item 4. Mine Safety Disclosures</w:t>
      </w:r>
    </w:p>
    <w:p>
      <w:pPr>
        <w:spacing w:after="0" w:line="144" w:lineRule="exact"/>
        <w:rPr>
          <w:sz w:val="20"/>
          <w:szCs w:val="20"/>
          <w:color w:val="auto"/>
        </w:rPr>
      </w:pPr>
    </w:p>
    <w:p>
      <w:pPr>
        <w:jc w:val="center"/>
        <w:ind w:right="87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80" w:type="dxa"/>
            <w:vAlign w:val="bottom"/>
          </w:tcPr>
          <w:p>
            <w:pPr>
              <w:spacing w:after="0"/>
              <w:rPr>
                <w:sz w:val="20"/>
                <w:szCs w:val="20"/>
                <w:color w:val="auto"/>
              </w:rPr>
            </w:pPr>
            <w:r>
              <w:rPr>
                <w:rFonts w:ascii="Arial" w:cs="Arial" w:eastAsia="Arial" w:hAnsi="Arial"/>
                <w:sz w:val="18"/>
                <w:szCs w:val="18"/>
                <w:b w:val="1"/>
                <w:bCs w:val="1"/>
                <w:color w:val="auto"/>
              </w:rPr>
              <w:t>Item 6. Exhibits.</w:t>
            </w:r>
          </w:p>
        </w:tc>
        <w:tc>
          <w:tcPr>
            <w:tcW w:w="344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980" w:type="dxa"/>
            <w:vAlign w:val="bottom"/>
          </w:tcPr>
          <w:p>
            <w:pPr>
              <w:jc w:val="center"/>
              <w:ind w:right="910"/>
              <w:spacing w:after="0"/>
              <w:rPr>
                <w:sz w:val="20"/>
                <w:szCs w:val="20"/>
                <w:color w:val="auto"/>
              </w:rPr>
            </w:pPr>
            <w:r>
              <w:rPr>
                <w:rFonts w:ascii="Arial" w:cs="Arial" w:eastAsia="Arial" w:hAnsi="Arial"/>
                <w:sz w:val="18"/>
                <w:szCs w:val="18"/>
                <w:b w:val="1"/>
                <w:bCs w:val="1"/>
                <w:color w:val="auto"/>
                <w:w w:val="96"/>
              </w:rPr>
              <w:t>Exhibit</w:t>
            </w:r>
          </w:p>
        </w:tc>
        <w:tc>
          <w:tcPr>
            <w:tcW w:w="3440" w:type="dxa"/>
            <w:vAlign w:val="bottom"/>
            <w:vMerge w:val="restart"/>
          </w:tcPr>
          <w:p>
            <w:pPr>
              <w:ind w:left="720"/>
              <w:spacing w:after="0"/>
              <w:rPr>
                <w:sz w:val="20"/>
                <w:szCs w:val="20"/>
                <w:color w:val="auto"/>
              </w:rPr>
            </w:pPr>
            <w:r>
              <w:rPr>
                <w:rFonts w:ascii="Arial" w:cs="Arial" w:eastAsia="Arial" w:hAnsi="Arial"/>
                <w:sz w:val="18"/>
                <w:szCs w:val="18"/>
                <w:b w:val="1"/>
                <w:bCs w:val="1"/>
                <w:color w:val="auto"/>
              </w:rPr>
              <w:t>Description</w:t>
            </w:r>
          </w:p>
        </w:tc>
        <w:tc>
          <w:tcPr>
            <w:tcW w:w="3880" w:type="dxa"/>
            <w:vAlign w:val="bottom"/>
            <w:vMerge w:val="restart"/>
          </w:tcPr>
          <w:p>
            <w:pPr>
              <w:ind w:left="1820"/>
              <w:spacing w:after="0"/>
              <w:rPr>
                <w:sz w:val="20"/>
                <w:szCs w:val="20"/>
                <w:color w:val="auto"/>
              </w:rPr>
            </w:pPr>
            <w:r>
              <w:rPr>
                <w:rFonts w:ascii="Arial" w:cs="Arial" w:eastAsia="Arial" w:hAnsi="Arial"/>
                <w:sz w:val="18"/>
                <w:szCs w:val="18"/>
                <w:b w:val="1"/>
                <w:bCs w:val="1"/>
                <w:color w:val="auto"/>
                <w:w w:val="89"/>
              </w:rPr>
              <w:t>Incorporated by Reference</w:t>
            </w:r>
          </w:p>
        </w:tc>
        <w:tc>
          <w:tcPr>
            <w:tcW w:w="0" w:type="dxa"/>
            <w:vAlign w:val="bottom"/>
          </w:tcPr>
          <w:p>
            <w:pPr>
              <w:spacing w:after="0"/>
              <w:rPr>
                <w:sz w:val="1"/>
                <w:szCs w:val="1"/>
                <w:color w:val="auto"/>
              </w:rPr>
            </w:pPr>
          </w:p>
        </w:tc>
      </w:tr>
      <w:tr>
        <w:trPr>
          <w:trHeight w:val="234"/>
        </w:trPr>
        <w:tc>
          <w:tcPr>
            <w:tcW w:w="1980" w:type="dxa"/>
            <w:vAlign w:val="bottom"/>
          </w:tcPr>
          <w:p>
            <w:pPr>
              <w:jc w:val="center"/>
              <w:ind w:right="930"/>
              <w:spacing w:after="0"/>
              <w:rPr>
                <w:sz w:val="20"/>
                <w:szCs w:val="20"/>
                <w:color w:val="auto"/>
              </w:rPr>
            </w:pPr>
            <w:r>
              <w:rPr>
                <w:rFonts w:ascii="Arial" w:cs="Arial" w:eastAsia="Arial" w:hAnsi="Arial"/>
                <w:sz w:val="18"/>
                <w:szCs w:val="18"/>
                <w:b w:val="1"/>
                <w:bCs w:val="1"/>
                <w:color w:val="auto"/>
                <w:w w:val="94"/>
              </w:rPr>
              <w:t>Number</w:t>
            </w:r>
          </w:p>
        </w:tc>
        <w:tc>
          <w:tcPr>
            <w:tcW w:w="3440" w:type="dxa"/>
            <w:vAlign w:val="bottom"/>
            <w:vMerge w:val="continue"/>
          </w:tcPr>
          <w:p>
            <w:pPr>
              <w:spacing w:after="0"/>
              <w:rPr>
                <w:sz w:val="20"/>
                <w:szCs w:val="20"/>
                <w:color w:val="auto"/>
              </w:rPr>
            </w:pPr>
          </w:p>
        </w:tc>
        <w:tc>
          <w:tcPr>
            <w:tcW w:w="38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0"/>
        <w:spacing w:after="0"/>
        <w:rPr>
          <w:rFonts w:ascii="Arial" w:cs="Arial" w:eastAsia="Arial" w:hAnsi="Arial"/>
          <w:sz w:val="16"/>
          <w:szCs w:val="16"/>
          <w:u w:val="single" w:color="auto"/>
          <w:color w:val="0000FF"/>
        </w:rPr>
      </w:pPr>
      <w:hyperlink r:id="rId73">
        <w:r>
          <w:rPr>
            <w:rFonts w:ascii="Arial" w:cs="Arial" w:eastAsia="Arial" w:hAnsi="Arial"/>
            <w:sz w:val="16"/>
            <w:szCs w:val="16"/>
            <w:u w:val="single" w:color="auto"/>
            <w:color w:val="0000FF"/>
          </w:rPr>
          <w:t>2.1†</w:t>
        </w:r>
      </w:hyperlink>
    </w:p>
    <w:p>
      <w:pPr>
        <w:spacing w:after="0" w:line="200" w:lineRule="exact"/>
        <w:rPr>
          <w:sz w:val="20"/>
          <w:szCs w:val="20"/>
          <w:color w:val="auto"/>
        </w:rPr>
      </w:pPr>
    </w:p>
    <w:p>
      <w:pPr>
        <w:spacing w:after="0" w:line="318" w:lineRule="exact"/>
        <w:rPr>
          <w:sz w:val="20"/>
          <w:szCs w:val="20"/>
          <w:color w:val="auto"/>
        </w:rPr>
      </w:pPr>
    </w:p>
    <w:p>
      <w:pPr>
        <w:ind w:left="20"/>
        <w:spacing w:after="0"/>
        <w:rPr>
          <w:rFonts w:ascii="Arial" w:cs="Arial" w:eastAsia="Arial" w:hAnsi="Arial"/>
          <w:sz w:val="18"/>
          <w:szCs w:val="18"/>
          <w:u w:val="single" w:color="auto"/>
          <w:color w:val="0000FF"/>
        </w:rPr>
      </w:pPr>
      <w:hyperlink r:id="rId74">
        <w:r>
          <w:rPr>
            <w:rFonts w:ascii="Arial" w:cs="Arial" w:eastAsia="Arial" w:hAnsi="Arial"/>
            <w:sz w:val="18"/>
            <w:szCs w:val="18"/>
            <w:u w:val="single" w:color="auto"/>
            <w:color w:val="0000FF"/>
          </w:rPr>
          <w:t>3.1</w:t>
        </w:r>
      </w:hyperlink>
    </w:p>
    <w:p>
      <w:pPr>
        <w:spacing w:after="0" w:line="63" w:lineRule="exact"/>
        <w:rPr>
          <w:sz w:val="20"/>
          <w:szCs w:val="20"/>
          <w:color w:val="auto"/>
        </w:rPr>
      </w:pPr>
    </w:p>
    <w:p>
      <w:pPr>
        <w:ind w:left="20"/>
        <w:spacing w:after="0"/>
        <w:rPr>
          <w:rFonts w:ascii="Arial" w:cs="Arial" w:eastAsia="Arial" w:hAnsi="Arial"/>
          <w:sz w:val="18"/>
          <w:szCs w:val="18"/>
          <w:u w:val="single" w:color="auto"/>
          <w:color w:val="0000FF"/>
        </w:rPr>
      </w:pPr>
      <w:hyperlink r:id="rId75">
        <w:r>
          <w:rPr>
            <w:rFonts w:ascii="Arial" w:cs="Arial" w:eastAsia="Arial" w:hAnsi="Arial"/>
            <w:sz w:val="18"/>
            <w:szCs w:val="18"/>
            <w:u w:val="single" w:color="auto"/>
            <w:color w:val="0000FF"/>
          </w:rPr>
          <w:t>3.2</w:t>
        </w:r>
      </w:hyperlink>
    </w:p>
    <w:p>
      <w:pPr>
        <w:spacing w:after="0" w:line="63" w:lineRule="exact"/>
        <w:rPr>
          <w:sz w:val="20"/>
          <w:szCs w:val="20"/>
          <w:color w:val="auto"/>
        </w:rPr>
      </w:pPr>
    </w:p>
    <w:p>
      <w:pPr>
        <w:ind w:left="20"/>
        <w:spacing w:after="0"/>
        <w:rPr>
          <w:rFonts w:ascii="Arial" w:cs="Arial" w:eastAsia="Arial" w:hAnsi="Arial"/>
          <w:sz w:val="16"/>
          <w:szCs w:val="16"/>
          <w:u w:val="single" w:color="auto"/>
          <w:color w:val="0000FF"/>
        </w:rPr>
      </w:pPr>
      <w:hyperlink w:anchor="page50">
        <w:r>
          <w:rPr>
            <w:rFonts w:ascii="Arial" w:cs="Arial" w:eastAsia="Arial" w:hAnsi="Arial"/>
            <w:sz w:val="16"/>
            <w:szCs w:val="16"/>
            <w:u w:val="single" w:color="auto"/>
            <w:color w:val="0000FF"/>
          </w:rPr>
          <w:t>10.1</w:t>
        </w:r>
      </w:hyperlink>
    </w:p>
    <w:p>
      <w:pPr>
        <w:spacing w:after="0" w:line="275" w:lineRule="exact"/>
        <w:rPr>
          <w:sz w:val="20"/>
          <w:szCs w:val="20"/>
          <w:color w:val="auto"/>
        </w:rPr>
      </w:pPr>
    </w:p>
    <w:p>
      <w:pPr>
        <w:ind w:left="20"/>
        <w:spacing w:after="0"/>
        <w:rPr>
          <w:rFonts w:ascii="Arial" w:cs="Arial" w:eastAsia="Arial" w:hAnsi="Arial"/>
          <w:sz w:val="16"/>
          <w:szCs w:val="16"/>
          <w:u w:val="single" w:color="auto"/>
          <w:color w:val="0000FF"/>
        </w:rPr>
      </w:pPr>
      <w:hyperlink w:anchor="page64">
        <w:r>
          <w:rPr>
            <w:rFonts w:ascii="Arial" w:cs="Arial" w:eastAsia="Arial" w:hAnsi="Arial"/>
            <w:sz w:val="16"/>
            <w:szCs w:val="16"/>
            <w:u w:val="single" w:color="auto"/>
            <w:color w:val="0000FF"/>
          </w:rPr>
          <w:t>31.1</w:t>
        </w:r>
      </w:hyperlink>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3"/>
              </w:rPr>
              <w:t>Filed/</w:t>
            </w:r>
          </w:p>
        </w:tc>
        <w:tc>
          <w:tcPr>
            <w:tcW w:w="0" w:type="dxa"/>
            <w:vAlign w:val="bottom"/>
          </w:tcPr>
          <w:p>
            <w:pPr>
              <w:spacing w:after="0"/>
              <w:rPr>
                <w:sz w:val="1"/>
                <w:szCs w:val="1"/>
                <w:color w:val="auto"/>
              </w:rPr>
            </w:pPr>
          </w:p>
        </w:tc>
      </w:tr>
      <w:tr>
        <w:trPr>
          <w:trHeight w:val="176"/>
        </w:trPr>
        <w:tc>
          <w:tcPr>
            <w:tcW w:w="1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7"/>
              </w:rPr>
              <w:t>Form</w:t>
            </w:r>
          </w:p>
        </w:tc>
        <w:tc>
          <w:tcPr>
            <w:tcW w:w="100" w:type="dxa"/>
            <w:vAlign w:val="bottom"/>
            <w:vMerge w:val="restart"/>
          </w:tcPr>
          <w:p>
            <w:pPr>
              <w:spacing w:after="0"/>
              <w:rPr>
                <w:sz w:val="15"/>
                <w:szCs w:val="15"/>
                <w:color w:val="auto"/>
              </w:rPr>
            </w:pPr>
          </w:p>
        </w:tc>
        <w:tc>
          <w:tcPr>
            <w:tcW w:w="13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2"/>
              </w:rPr>
              <w:t>File No.</w:t>
            </w:r>
          </w:p>
        </w:tc>
        <w:tc>
          <w:tcPr>
            <w:tcW w:w="80" w:type="dxa"/>
            <w:vAlign w:val="bottom"/>
            <w:vMerge w:val="restart"/>
          </w:tcPr>
          <w:p>
            <w:pPr>
              <w:spacing w:after="0"/>
              <w:rPr>
                <w:sz w:val="15"/>
                <w:szCs w:val="15"/>
                <w:color w:val="auto"/>
              </w:rPr>
            </w:pPr>
          </w:p>
        </w:tc>
        <w:tc>
          <w:tcPr>
            <w:tcW w:w="9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Exhibit</w:t>
            </w:r>
          </w:p>
        </w:tc>
        <w:tc>
          <w:tcPr>
            <w:tcW w:w="100" w:type="dxa"/>
            <w:vAlign w:val="bottom"/>
            <w:vMerge w:val="restart"/>
          </w:tcPr>
          <w:p>
            <w:pPr>
              <w:spacing w:after="0"/>
              <w:rPr>
                <w:sz w:val="15"/>
                <w:szCs w:val="15"/>
                <w:color w:val="auto"/>
              </w:rPr>
            </w:pPr>
          </w:p>
        </w:tc>
        <w:tc>
          <w:tcPr>
            <w:tcW w:w="11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Filing Date</w:t>
            </w:r>
          </w:p>
        </w:tc>
        <w:tc>
          <w:tcPr>
            <w:tcW w:w="80" w:type="dxa"/>
            <w:vAlign w:val="bottom"/>
            <w:vMerge w:val="restart"/>
          </w:tcPr>
          <w:p>
            <w:pPr>
              <w:spacing w:after="0"/>
              <w:rPr>
                <w:sz w:val="15"/>
                <w:szCs w:val="15"/>
                <w:color w:val="auto"/>
              </w:rPr>
            </w:pPr>
          </w:p>
        </w:tc>
        <w:tc>
          <w:tcPr>
            <w:tcW w:w="11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Furnished</w:t>
            </w:r>
          </w:p>
        </w:tc>
        <w:tc>
          <w:tcPr>
            <w:tcW w:w="0" w:type="dxa"/>
            <w:vAlign w:val="bottom"/>
          </w:tcPr>
          <w:p>
            <w:pPr>
              <w:spacing w:after="0"/>
              <w:rPr>
                <w:sz w:val="1"/>
                <w:szCs w:val="1"/>
                <w:color w:val="auto"/>
              </w:rPr>
            </w:pPr>
          </w:p>
        </w:tc>
      </w:tr>
      <w:tr>
        <w:trPr>
          <w:trHeight w:val="229"/>
        </w:trPr>
        <w:tc>
          <w:tcPr>
            <w:tcW w:w="1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herewith</w:t>
            </w:r>
          </w:p>
        </w:tc>
        <w:tc>
          <w:tcPr>
            <w:tcW w:w="0" w:type="dxa"/>
            <w:vAlign w:val="bottom"/>
          </w:tcPr>
          <w:p>
            <w:pPr>
              <w:spacing w:after="0"/>
              <w:rPr>
                <w:sz w:val="1"/>
                <w:szCs w:val="1"/>
                <w:color w:val="auto"/>
              </w:rPr>
            </w:pPr>
          </w:p>
        </w:tc>
      </w:tr>
      <w:tr>
        <w:trPr>
          <w:trHeight w:val="183"/>
        </w:trPr>
        <w:tc>
          <w:tcPr>
            <w:tcW w:w="4240" w:type="dxa"/>
            <w:vAlign w:val="bottom"/>
            <w:gridSpan w:val="9"/>
          </w:tcPr>
          <w:p>
            <w:pPr>
              <w:spacing w:after="0" w:line="163" w:lineRule="exact"/>
              <w:rPr>
                <w:rFonts w:ascii="Arial" w:cs="Arial" w:eastAsia="Arial" w:hAnsi="Arial"/>
                <w:sz w:val="18"/>
                <w:szCs w:val="18"/>
                <w:color w:val="0000FF"/>
                <w:w w:val="97"/>
              </w:rPr>
            </w:pPr>
            <w:hyperlink r:id="rId73">
              <w:r>
                <w:rPr>
                  <w:rFonts w:ascii="Arial" w:cs="Arial" w:eastAsia="Arial" w:hAnsi="Arial"/>
                  <w:sz w:val="18"/>
                  <w:szCs w:val="18"/>
                  <w:color w:val="0000FF"/>
                  <w:w w:val="97"/>
                </w:rPr>
                <w:t>Agreement and Plan of Merger, dated as of December</w:t>
              </w:r>
            </w:hyperlink>
          </w:p>
        </w:tc>
        <w:tc>
          <w:tcPr>
            <w:tcW w:w="1180" w:type="dxa"/>
            <w:vAlign w:val="bottom"/>
            <w:gridSpan w:val="2"/>
          </w:tcPr>
          <w:p>
            <w:pPr>
              <w:jc w:val="center"/>
              <w:ind w:right="100"/>
              <w:spacing w:after="0" w:line="169" w:lineRule="exact"/>
              <w:rPr>
                <w:sz w:val="20"/>
                <w:szCs w:val="20"/>
                <w:color w:val="auto"/>
              </w:rPr>
            </w:pPr>
            <w:r>
              <w:rPr>
                <w:rFonts w:ascii="Arial" w:cs="Arial" w:eastAsia="Arial" w:hAnsi="Arial"/>
                <w:sz w:val="18"/>
                <w:szCs w:val="18"/>
                <w:color w:val="auto"/>
                <w:w w:val="97"/>
              </w:rPr>
              <w:t>S-4/A</w:t>
            </w:r>
          </w:p>
        </w:tc>
        <w:tc>
          <w:tcPr>
            <w:tcW w:w="1320" w:type="dxa"/>
            <w:vAlign w:val="bottom"/>
          </w:tcPr>
          <w:p>
            <w:pPr>
              <w:jc w:val="center"/>
              <w:spacing w:after="0" w:line="169" w:lineRule="exact"/>
              <w:rPr>
                <w:sz w:val="20"/>
                <w:szCs w:val="20"/>
                <w:color w:val="auto"/>
              </w:rPr>
            </w:pPr>
            <w:r>
              <w:rPr>
                <w:rFonts w:ascii="Arial" w:cs="Arial" w:eastAsia="Arial" w:hAnsi="Arial"/>
                <w:sz w:val="18"/>
                <w:szCs w:val="18"/>
                <w:color w:val="auto"/>
                <w:w w:val="89"/>
              </w:rPr>
              <w:t>333-251611</w:t>
            </w:r>
          </w:p>
        </w:tc>
        <w:tc>
          <w:tcPr>
            <w:tcW w:w="80" w:type="dxa"/>
            <w:vAlign w:val="bottom"/>
          </w:tcPr>
          <w:p>
            <w:pPr>
              <w:spacing w:after="0"/>
              <w:rPr>
                <w:sz w:val="15"/>
                <w:szCs w:val="15"/>
                <w:color w:val="auto"/>
              </w:rPr>
            </w:pPr>
          </w:p>
        </w:tc>
        <w:tc>
          <w:tcPr>
            <w:tcW w:w="900" w:type="dxa"/>
            <w:vAlign w:val="bottom"/>
          </w:tcPr>
          <w:p>
            <w:pPr>
              <w:jc w:val="center"/>
              <w:spacing w:after="0" w:line="169" w:lineRule="exact"/>
              <w:rPr>
                <w:sz w:val="20"/>
                <w:szCs w:val="20"/>
                <w:color w:val="auto"/>
              </w:rPr>
            </w:pPr>
            <w:r>
              <w:rPr>
                <w:rFonts w:ascii="Arial" w:cs="Arial" w:eastAsia="Arial" w:hAnsi="Arial"/>
                <w:sz w:val="18"/>
                <w:szCs w:val="18"/>
                <w:color w:val="auto"/>
                <w:w w:val="95"/>
              </w:rPr>
              <w:t>2.1</w:t>
            </w:r>
          </w:p>
        </w:tc>
        <w:tc>
          <w:tcPr>
            <w:tcW w:w="100" w:type="dxa"/>
            <w:vAlign w:val="bottom"/>
          </w:tcPr>
          <w:p>
            <w:pPr>
              <w:spacing w:after="0"/>
              <w:rPr>
                <w:sz w:val="15"/>
                <w:szCs w:val="15"/>
                <w:color w:val="auto"/>
              </w:rPr>
            </w:pPr>
          </w:p>
        </w:tc>
        <w:tc>
          <w:tcPr>
            <w:tcW w:w="1120" w:type="dxa"/>
            <w:vAlign w:val="bottom"/>
          </w:tcPr>
          <w:p>
            <w:pPr>
              <w:jc w:val="center"/>
              <w:spacing w:after="0" w:line="169" w:lineRule="exact"/>
              <w:rPr>
                <w:sz w:val="20"/>
                <w:szCs w:val="20"/>
                <w:color w:val="auto"/>
              </w:rPr>
            </w:pPr>
            <w:r>
              <w:rPr>
                <w:rFonts w:ascii="Arial" w:cs="Arial" w:eastAsia="Arial" w:hAnsi="Arial"/>
                <w:sz w:val="18"/>
                <w:szCs w:val="18"/>
                <w:color w:val="auto"/>
                <w:w w:val="89"/>
              </w:rPr>
              <w:t>2/10/2021</w:t>
            </w: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82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89"/>
              </w:rPr>
            </w:pPr>
            <w:hyperlink r:id="rId73">
              <w:r>
                <w:rPr>
                  <w:rFonts w:ascii="Arial" w:cs="Arial" w:eastAsia="Arial" w:hAnsi="Arial"/>
                  <w:sz w:val="18"/>
                  <w:szCs w:val="18"/>
                  <w:color w:val="0000FF"/>
                  <w:w w:val="89"/>
                </w:rPr>
                <w:t>21, 2020, by and among the Company, Beam Merger</w:t>
              </w:r>
            </w:hyperlink>
          </w:p>
        </w:tc>
        <w:tc>
          <w:tcPr>
            <w:tcW w:w="60" w:type="dxa"/>
            <w:vAlign w:val="bottom"/>
            <w:tcBorders>
              <w:top w:val="single" w:sz="8" w:color="0000FF"/>
            </w:tcBorders>
          </w:tcPr>
          <w:p>
            <w:pPr>
              <w:spacing w:after="0"/>
              <w:rPr>
                <w:sz w:val="17"/>
                <w:szCs w:val="17"/>
                <w:color w:val="auto"/>
              </w:rPr>
            </w:pPr>
          </w:p>
        </w:tc>
        <w:tc>
          <w:tcPr>
            <w:tcW w:w="360" w:type="dxa"/>
            <w:vAlign w:val="bottom"/>
            <w:gridSpan w:val="2"/>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40" w:type="dxa"/>
            <w:vAlign w:val="bottom"/>
            <w:tcBorders>
              <w:bottom w:val="single" w:sz="8" w:color="0000FF"/>
            </w:tcBorders>
            <w:gridSpan w:val="2"/>
          </w:tcPr>
          <w:p>
            <w:pPr>
              <w:spacing w:after="0" w:line="196" w:lineRule="exact"/>
              <w:rPr>
                <w:rFonts w:ascii="Arial" w:cs="Arial" w:eastAsia="Arial" w:hAnsi="Arial"/>
                <w:sz w:val="18"/>
                <w:szCs w:val="18"/>
                <w:color w:val="0000FF"/>
                <w:w w:val="89"/>
              </w:rPr>
            </w:pPr>
            <w:hyperlink r:id="rId73">
              <w:r>
                <w:rPr>
                  <w:rFonts w:ascii="Arial" w:cs="Arial" w:eastAsia="Arial" w:hAnsi="Arial"/>
                  <w:sz w:val="18"/>
                  <w:szCs w:val="18"/>
                  <w:color w:val="0000FF"/>
                  <w:w w:val="89"/>
                </w:rPr>
                <w:t>Sub, Inc. and Ouster, Inc.</w:t>
              </w:r>
            </w:hyperlink>
          </w:p>
        </w:tc>
        <w:tc>
          <w:tcPr>
            <w:tcW w:w="2400" w:type="dxa"/>
            <w:vAlign w:val="bottom"/>
            <w:gridSpan w:val="7"/>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3060" w:type="dxa"/>
            <w:vAlign w:val="bottom"/>
            <w:tcBorders>
              <w:bottom w:val="single" w:sz="8" w:color="0000FF"/>
            </w:tcBorders>
            <w:gridSpan w:val="3"/>
          </w:tcPr>
          <w:p>
            <w:pPr>
              <w:spacing w:after="0"/>
              <w:rPr>
                <w:rFonts w:ascii="Arial" w:cs="Arial" w:eastAsia="Arial" w:hAnsi="Arial"/>
                <w:sz w:val="18"/>
                <w:szCs w:val="18"/>
                <w:color w:val="0000FF"/>
                <w:w w:val="92"/>
              </w:rPr>
            </w:pPr>
            <w:hyperlink r:id="rId74">
              <w:r>
                <w:rPr>
                  <w:rFonts w:ascii="Arial" w:cs="Arial" w:eastAsia="Arial" w:hAnsi="Arial"/>
                  <w:sz w:val="18"/>
                  <w:szCs w:val="18"/>
                  <w:color w:val="0000FF"/>
                  <w:w w:val="92"/>
                </w:rPr>
                <w:t>Certificate of Incorporation of Ouster, Inc.</w:t>
              </w:r>
            </w:hyperlink>
          </w:p>
        </w:tc>
        <w:tc>
          <w:tcPr>
            <w:tcW w:w="1180" w:type="dxa"/>
            <w:vAlign w:val="bottom"/>
            <w:gridSpan w:val="6"/>
          </w:tcPr>
          <w:p>
            <w:pPr>
              <w:spacing w:after="0"/>
              <w:rPr>
                <w:sz w:val="21"/>
                <w:szCs w:val="21"/>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S-4 POS</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333-251611</w:t>
            </w:r>
          </w:p>
        </w:tc>
        <w:tc>
          <w:tcPr>
            <w:tcW w:w="8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3/10/2021</w:t>
            </w: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620" w:type="dxa"/>
            <w:vAlign w:val="bottom"/>
            <w:tcBorders>
              <w:bottom w:val="single" w:sz="8" w:color="0000FF"/>
            </w:tcBorders>
          </w:tcPr>
          <w:p>
            <w:pPr>
              <w:spacing w:after="0"/>
              <w:rPr>
                <w:rFonts w:ascii="Arial" w:cs="Arial" w:eastAsia="Arial" w:hAnsi="Arial"/>
                <w:sz w:val="18"/>
                <w:szCs w:val="18"/>
                <w:color w:val="0000FF"/>
                <w:w w:val="91"/>
              </w:rPr>
            </w:pPr>
            <w:hyperlink r:id="rId75">
              <w:r>
                <w:rPr>
                  <w:rFonts w:ascii="Arial" w:cs="Arial" w:eastAsia="Arial" w:hAnsi="Arial"/>
                  <w:sz w:val="18"/>
                  <w:szCs w:val="18"/>
                  <w:color w:val="0000FF"/>
                  <w:w w:val="91"/>
                </w:rPr>
                <w:t>Bylaws of Ouster, Inc.</w:t>
              </w:r>
            </w:hyperlink>
          </w:p>
        </w:tc>
        <w:tc>
          <w:tcPr>
            <w:tcW w:w="2620" w:type="dxa"/>
            <w:vAlign w:val="bottom"/>
            <w:gridSpan w:val="8"/>
          </w:tcPr>
          <w:p>
            <w:pPr>
              <w:spacing w:after="0"/>
              <w:rPr>
                <w:sz w:val="21"/>
                <w:szCs w:val="21"/>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S-4 POS</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333-251611</w:t>
            </w:r>
          </w:p>
        </w:tc>
        <w:tc>
          <w:tcPr>
            <w:tcW w:w="8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3/10/2021</w:t>
            </w: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240" w:type="dxa"/>
            <w:vAlign w:val="bottom"/>
            <w:gridSpan w:val="9"/>
          </w:tcPr>
          <w:p>
            <w:pPr>
              <w:spacing w:after="0"/>
              <w:rPr>
                <w:rFonts w:ascii="Arial" w:cs="Arial" w:eastAsia="Arial" w:hAnsi="Arial"/>
                <w:sz w:val="18"/>
                <w:szCs w:val="18"/>
                <w:color w:val="0000FF"/>
                <w:w w:val="95"/>
              </w:rPr>
            </w:pPr>
            <w:hyperlink w:anchor="page50">
              <w:r>
                <w:rPr>
                  <w:rFonts w:ascii="Arial" w:cs="Arial" w:eastAsia="Arial" w:hAnsi="Arial"/>
                  <w:sz w:val="18"/>
                  <w:szCs w:val="18"/>
                  <w:color w:val="0000FF"/>
                  <w:w w:val="95"/>
                </w:rPr>
                <w:t>Employment Agreement, by and between the Company</w:t>
              </w:r>
            </w:hyperlink>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3300" w:type="dxa"/>
            <w:vAlign w:val="bottom"/>
            <w:tcBorders>
              <w:top w:val="single" w:sz="8" w:color="0000FF"/>
              <w:bottom w:val="single" w:sz="8" w:color="0000FF"/>
            </w:tcBorders>
            <w:gridSpan w:val="4"/>
          </w:tcPr>
          <w:p>
            <w:pPr>
              <w:spacing w:after="0" w:line="182" w:lineRule="exact"/>
              <w:rPr>
                <w:rFonts w:ascii="Arial" w:cs="Arial" w:eastAsia="Arial" w:hAnsi="Arial"/>
                <w:sz w:val="18"/>
                <w:szCs w:val="18"/>
                <w:color w:val="0000FF"/>
                <w:w w:val="90"/>
              </w:rPr>
            </w:pPr>
            <w:hyperlink w:anchor="page50">
              <w:r>
                <w:rPr>
                  <w:rFonts w:ascii="Arial" w:cs="Arial" w:eastAsia="Arial" w:hAnsi="Arial"/>
                  <w:sz w:val="18"/>
                  <w:szCs w:val="18"/>
                  <w:color w:val="0000FF"/>
                  <w:w w:val="90"/>
                </w:rPr>
                <w:t>and Nathan Dickerman, dated March 1, 2021.</w:t>
              </w:r>
            </w:hyperlink>
          </w:p>
        </w:tc>
        <w:tc>
          <w:tcPr>
            <w:tcW w:w="700" w:type="dxa"/>
            <w:vAlign w:val="bottom"/>
            <w:tcBorders>
              <w:top w:val="single" w:sz="8" w:color="0000FF"/>
            </w:tcBorders>
            <w:gridSpan w:val="4"/>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720" w:type="dxa"/>
            <w:vAlign w:val="bottom"/>
            <w:tcBorders>
              <w:bottom w:val="single" w:sz="8" w:color="0000FF"/>
            </w:tcBorders>
            <w:gridSpan w:val="5"/>
          </w:tcPr>
          <w:p>
            <w:pPr>
              <w:spacing w:after="0"/>
              <w:rPr>
                <w:rFonts w:ascii="Arial" w:cs="Arial" w:eastAsia="Arial" w:hAnsi="Arial"/>
                <w:sz w:val="18"/>
                <w:szCs w:val="18"/>
                <w:color w:val="0000FF"/>
                <w:w w:val="92"/>
              </w:rPr>
            </w:pPr>
            <w:hyperlink w:anchor="page64">
              <w:r>
                <w:rPr>
                  <w:rFonts w:ascii="Arial" w:cs="Arial" w:eastAsia="Arial" w:hAnsi="Arial"/>
                  <w:sz w:val="18"/>
                  <w:szCs w:val="18"/>
                  <w:color w:val="0000FF"/>
                  <w:w w:val="92"/>
                </w:rPr>
                <w:t>Certification of Chief Executive Officer pursuant to</w:t>
              </w:r>
            </w:hyperlink>
          </w:p>
        </w:tc>
        <w:tc>
          <w:tcPr>
            <w:tcW w:w="520" w:type="dxa"/>
            <w:vAlign w:val="bottom"/>
            <w:gridSpan w:val="4"/>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7"/>
        </w:trPr>
        <w:tc>
          <w:tcPr>
            <w:tcW w:w="3720" w:type="dxa"/>
            <w:vAlign w:val="bottom"/>
            <w:gridSpan w:val="5"/>
          </w:tcPr>
          <w:p>
            <w:pPr>
              <w:spacing w:after="0" w:line="157" w:lineRule="exact"/>
              <w:rPr>
                <w:rFonts w:ascii="Arial" w:cs="Arial" w:eastAsia="Arial" w:hAnsi="Arial"/>
                <w:sz w:val="18"/>
                <w:szCs w:val="18"/>
                <w:u w:val="single" w:color="auto"/>
                <w:color w:val="0000FF"/>
                <w:w w:val="98"/>
              </w:rPr>
            </w:pPr>
            <w:hyperlink w:anchor="page64">
              <w:r>
                <w:rPr>
                  <w:rFonts w:ascii="Arial" w:cs="Arial" w:eastAsia="Arial" w:hAnsi="Arial"/>
                  <w:sz w:val="18"/>
                  <w:szCs w:val="18"/>
                  <w:u w:val="single" w:color="auto"/>
                  <w:color w:val="0000FF"/>
                  <w:w w:val="98"/>
                </w:rPr>
                <w:t>Rules 13a-14(a)/15d-14(a) under the Securities</w:t>
              </w:r>
            </w:hyperlink>
          </w:p>
        </w:tc>
        <w:tc>
          <w:tcPr>
            <w:tcW w:w="520" w:type="dxa"/>
            <w:vAlign w:val="bottom"/>
            <w:gridSpan w:val="4"/>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rPr>
          <w:rFonts w:ascii="Arial" w:cs="Arial" w:eastAsia="Arial" w:hAnsi="Arial"/>
          <w:sz w:val="18"/>
          <w:szCs w:val="18"/>
          <w:u w:val="single" w:color="auto"/>
          <w:color w:val="0000FF"/>
        </w:rPr>
      </w:pPr>
      <w:hyperlink w:anchor="page64">
        <w:r>
          <w:rPr>
            <w:rFonts w:ascii="Arial" w:cs="Arial" w:eastAsia="Arial" w:hAnsi="Arial"/>
            <w:sz w:val="18"/>
            <w:szCs w:val="18"/>
            <w:u w:val="single" w:color="auto"/>
            <w:color w:val="0000FF"/>
          </w:rPr>
          <w:t>Exchange Act of 1934, as amended</w:t>
        </w:r>
      </w:hyperlink>
    </w:p>
    <w:p>
      <w:pPr>
        <w:spacing w:after="0" w:line="1" w:lineRule="exact"/>
        <w:rPr>
          <w:sz w:val="20"/>
          <w:szCs w:val="20"/>
          <w:color w:val="auto"/>
        </w:rPr>
      </w:pPr>
    </w:p>
    <w:p>
      <w:pPr>
        <w:sectPr>
          <w:pgSz w:w="11900" w:h="16838" w:orient="portrait"/>
          <w:cols w:equalWidth="0" w:num="2">
            <w:col w:w="360" w:space="720"/>
            <w:col w:w="10160"/>
          </w:cols>
          <w:pgMar w:left="320" w:top="125" w:right="339" w:bottom="1440" w:gutter="0" w:footer="0" w:header="0"/>
          <w:type w:val="continuous"/>
        </w:sectPr>
      </w:pPr>
    </w:p>
    <w:tbl>
      <w:tblPr>
        <w:tblLayout w:type="fixed"/>
        <w:tblInd w:w="20" w:type="dxa"/>
        <w:tblCellMar>
          <w:top w:w="0" w:type="dxa"/>
          <w:left w:w="0" w:type="dxa"/>
          <w:bottom w:w="0" w:type="dxa"/>
          <w:right w:w="0" w:type="dxa"/>
        </w:tblCellMar>
      </w:tblPr>
      <w:tr>
        <w:trPr>
          <w:trHeight w:val="216"/>
        </w:trPr>
        <w:tc>
          <w:tcPr>
            <w:tcW w:w="1060" w:type="dxa"/>
            <w:vAlign w:val="bottom"/>
            <w:gridSpan w:val="2"/>
          </w:tcPr>
          <w:p>
            <w:pPr>
              <w:jc w:val="right"/>
              <w:ind w:right="740"/>
              <w:spacing w:after="0" w:line="176" w:lineRule="exact"/>
              <w:rPr>
                <w:rFonts w:ascii="Arial" w:cs="Arial" w:eastAsia="Arial" w:hAnsi="Arial"/>
                <w:sz w:val="18"/>
                <w:szCs w:val="18"/>
                <w:color w:val="0000FF"/>
                <w:w w:val="85"/>
              </w:rPr>
            </w:pPr>
            <w:hyperlink w:anchor="page66">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hyperlink>
          </w:p>
        </w:tc>
        <w:tc>
          <w:tcPr>
            <w:tcW w:w="3680" w:type="dxa"/>
            <w:vAlign w:val="bottom"/>
            <w:tcBorders>
              <w:bottom w:val="single" w:sz="8" w:color="0000FF"/>
            </w:tcBorders>
            <w:gridSpan w:val="3"/>
          </w:tcPr>
          <w:p>
            <w:pPr>
              <w:spacing w:after="0" w:line="176" w:lineRule="exact"/>
              <w:rPr>
                <w:rFonts w:ascii="Arial" w:cs="Arial" w:eastAsia="Arial" w:hAnsi="Arial"/>
                <w:sz w:val="18"/>
                <w:szCs w:val="18"/>
                <w:color w:val="0000FF"/>
                <w:w w:val="93"/>
              </w:rPr>
            </w:pPr>
            <w:hyperlink w:anchor="page66">
              <w:r>
                <w:rPr>
                  <w:rFonts w:ascii="Arial" w:cs="Arial" w:eastAsia="Arial" w:hAnsi="Arial"/>
                  <w:sz w:val="18"/>
                  <w:szCs w:val="18"/>
                  <w:color w:val="0000FF"/>
                  <w:w w:val="93"/>
                </w:rPr>
                <w:t>Certification of Chief Financial Officer pursuant to</w:t>
              </w:r>
            </w:hyperlink>
          </w:p>
        </w:tc>
        <w:tc>
          <w:tcPr>
            <w:tcW w:w="2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88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r>
      <w:tr>
        <w:trPr>
          <w:trHeight w:val="136"/>
        </w:trPr>
        <w:tc>
          <w:tcPr>
            <w:tcW w:w="320" w:type="dxa"/>
            <w:vAlign w:val="bottom"/>
            <w:tcBorders>
              <w:top w:val="single" w:sz="8" w:color="0000FF"/>
            </w:tcBorders>
          </w:tcPr>
          <w:p>
            <w:pPr>
              <w:spacing w:after="0"/>
              <w:rPr>
                <w:sz w:val="11"/>
                <w:szCs w:val="11"/>
                <w:color w:val="auto"/>
              </w:rPr>
            </w:pPr>
          </w:p>
        </w:tc>
        <w:tc>
          <w:tcPr>
            <w:tcW w:w="740" w:type="dxa"/>
            <w:vAlign w:val="bottom"/>
          </w:tcPr>
          <w:p>
            <w:pPr>
              <w:spacing w:after="0"/>
              <w:rPr>
                <w:sz w:val="11"/>
                <w:szCs w:val="11"/>
                <w:color w:val="auto"/>
              </w:rPr>
            </w:pPr>
          </w:p>
        </w:tc>
        <w:tc>
          <w:tcPr>
            <w:tcW w:w="3680" w:type="dxa"/>
            <w:vAlign w:val="bottom"/>
            <w:tcBorders>
              <w:top w:val="single" w:sz="8" w:color="0000FF"/>
            </w:tcBorders>
            <w:gridSpan w:val="3"/>
          </w:tcPr>
          <w:p>
            <w:pPr>
              <w:spacing w:after="0" w:line="136" w:lineRule="exact"/>
              <w:rPr>
                <w:rFonts w:ascii="Arial" w:cs="Arial" w:eastAsia="Arial" w:hAnsi="Arial"/>
                <w:sz w:val="15"/>
                <w:szCs w:val="15"/>
                <w:color w:val="0000FF"/>
              </w:rPr>
            </w:pPr>
            <w:hyperlink w:anchor="page66">
              <w:r>
                <w:rPr>
                  <w:rFonts w:ascii="Arial" w:cs="Arial" w:eastAsia="Arial" w:hAnsi="Arial"/>
                  <w:sz w:val="15"/>
                  <w:szCs w:val="15"/>
                  <w:color w:val="0000FF"/>
                </w:rPr>
                <w:t>Rules 13a-14(a)/15d-14(a) under the Securities</w:t>
              </w:r>
            </w:hyperlink>
          </w:p>
        </w:tc>
        <w:tc>
          <w:tcPr>
            <w:tcW w:w="26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2880" w:type="dxa"/>
            <w:vAlign w:val="bottom"/>
          </w:tcPr>
          <w:p>
            <w:pPr>
              <w:spacing w:after="0"/>
              <w:rPr>
                <w:sz w:val="11"/>
                <w:szCs w:val="11"/>
                <w:color w:val="auto"/>
              </w:rPr>
            </w:pPr>
          </w:p>
        </w:tc>
      </w:tr>
      <w:tr>
        <w:trPr>
          <w:trHeight w:val="156"/>
        </w:trPr>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380" w:type="dxa"/>
            <w:vAlign w:val="bottom"/>
            <w:tcBorders>
              <w:top w:val="single" w:sz="8" w:color="0000FF"/>
            </w:tcBorders>
            <w:gridSpan w:val="2"/>
          </w:tcPr>
          <w:p>
            <w:pPr>
              <w:spacing w:after="0" w:line="156" w:lineRule="exact"/>
              <w:rPr>
                <w:rFonts w:ascii="Arial" w:cs="Arial" w:eastAsia="Arial" w:hAnsi="Arial"/>
                <w:sz w:val="18"/>
                <w:szCs w:val="18"/>
                <w:color w:val="0000FF"/>
              </w:rPr>
            </w:pPr>
            <w:hyperlink w:anchor="page66">
              <w:r>
                <w:rPr>
                  <w:rFonts w:ascii="Arial" w:cs="Arial" w:eastAsia="Arial" w:hAnsi="Arial"/>
                  <w:sz w:val="18"/>
                  <w:szCs w:val="18"/>
                  <w:color w:val="0000FF"/>
                </w:rPr>
                <w:t>Exchange Act of 1934, as amended</w:t>
              </w:r>
            </w:hyperlink>
          </w:p>
        </w:tc>
        <w:tc>
          <w:tcPr>
            <w:tcW w:w="560" w:type="dxa"/>
            <w:vAlign w:val="bottom"/>
            <w:gridSpan w:val="2"/>
          </w:tcPr>
          <w:p>
            <w:pPr>
              <w:spacing w:after="0"/>
              <w:rPr>
                <w:sz w:val="13"/>
                <w:szCs w:val="13"/>
                <w:color w:val="auto"/>
              </w:rPr>
            </w:pPr>
          </w:p>
        </w:tc>
        <w:tc>
          <w:tcPr>
            <w:tcW w:w="2860" w:type="dxa"/>
            <w:vAlign w:val="bottom"/>
          </w:tcPr>
          <w:p>
            <w:pPr>
              <w:spacing w:after="0"/>
              <w:rPr>
                <w:sz w:val="13"/>
                <w:szCs w:val="13"/>
                <w:color w:val="auto"/>
              </w:rPr>
            </w:pPr>
          </w:p>
        </w:tc>
        <w:tc>
          <w:tcPr>
            <w:tcW w:w="2880" w:type="dxa"/>
            <w:vAlign w:val="bottom"/>
          </w:tcPr>
          <w:p>
            <w:pPr>
              <w:spacing w:after="0"/>
              <w:rPr>
                <w:sz w:val="13"/>
                <w:szCs w:val="13"/>
                <w:color w:val="auto"/>
              </w:rPr>
            </w:pPr>
          </w:p>
        </w:tc>
      </w:tr>
      <w:tr>
        <w:trPr>
          <w:trHeight w:val="20"/>
        </w:trPr>
        <w:tc>
          <w:tcPr>
            <w:tcW w:w="1060" w:type="dxa"/>
            <w:vAlign w:val="bottom"/>
            <w:gridSpan w:val="2"/>
          </w:tcPr>
          <w:p>
            <w:pPr>
              <w:spacing w:after="0" w:line="20" w:lineRule="exact"/>
              <w:rPr>
                <w:sz w:val="1"/>
                <w:szCs w:val="1"/>
                <w:color w:val="auto"/>
              </w:rPr>
            </w:pPr>
          </w:p>
        </w:tc>
        <w:tc>
          <w:tcPr>
            <w:tcW w:w="2540" w:type="dxa"/>
            <w:vAlign w:val="bottom"/>
            <w:shd w:val="clear" w:color="auto" w:fill="0000FF"/>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209"/>
        </w:trPr>
        <w:tc>
          <w:tcPr>
            <w:tcW w:w="1060" w:type="dxa"/>
            <w:vAlign w:val="bottom"/>
            <w:gridSpan w:val="2"/>
          </w:tcPr>
          <w:p>
            <w:pPr>
              <w:jc w:val="right"/>
              <w:ind w:right="740"/>
              <w:spacing w:after="0" w:line="196" w:lineRule="exact"/>
              <w:rPr>
                <w:rFonts w:ascii="Arial" w:cs="Arial" w:eastAsia="Arial" w:hAnsi="Arial"/>
                <w:sz w:val="18"/>
                <w:szCs w:val="18"/>
                <w:color w:val="0000FF"/>
                <w:w w:val="85"/>
              </w:rPr>
            </w:pPr>
            <w:hyperlink w:anchor="page68">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1</w:t>
              </w:r>
            </w:hyperlink>
          </w:p>
        </w:tc>
        <w:tc>
          <w:tcPr>
            <w:tcW w:w="6800" w:type="dxa"/>
            <w:vAlign w:val="bottom"/>
            <w:gridSpan w:val="5"/>
          </w:tcPr>
          <w:p>
            <w:pPr>
              <w:spacing w:after="0" w:line="196" w:lineRule="exact"/>
              <w:rPr>
                <w:rFonts w:ascii="Arial" w:cs="Arial" w:eastAsia="Arial" w:hAnsi="Arial"/>
                <w:sz w:val="18"/>
                <w:szCs w:val="18"/>
                <w:color w:val="0000FF"/>
              </w:rPr>
            </w:pPr>
            <w:hyperlink w:anchor="page68">
              <w:r>
                <w:rPr>
                  <w:rFonts w:ascii="Arial" w:cs="Arial" w:eastAsia="Arial" w:hAnsi="Arial"/>
                  <w:sz w:val="18"/>
                  <w:szCs w:val="18"/>
                  <w:color w:val="0000FF"/>
                </w:rPr>
                <w:t>Certification of Chief Executive Officer pursuant to 18</w:t>
              </w:r>
            </w:hyperlink>
          </w:p>
        </w:tc>
        <w:tc>
          <w:tcPr>
            <w:tcW w:w="288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r>
      <w:tr>
        <w:trPr>
          <w:trHeight w:val="20"/>
        </w:trPr>
        <w:tc>
          <w:tcPr>
            <w:tcW w:w="32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940" w:type="dxa"/>
            <w:vAlign w:val="bottom"/>
            <w:gridSpan w:val="4"/>
            <w:shd w:val="clear" w:color="auto" w:fill="0000FF"/>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157"/>
        </w:trPr>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0" w:type="dxa"/>
            <w:vAlign w:val="bottom"/>
            <w:gridSpan w:val="5"/>
          </w:tcPr>
          <w:p>
            <w:pPr>
              <w:spacing w:after="0" w:line="157" w:lineRule="exact"/>
              <w:rPr>
                <w:rFonts w:ascii="Arial" w:cs="Arial" w:eastAsia="Arial" w:hAnsi="Arial"/>
                <w:sz w:val="18"/>
                <w:szCs w:val="18"/>
                <w:u w:val="single" w:color="auto"/>
                <w:color w:val="0000FF"/>
              </w:rPr>
            </w:pPr>
            <w:hyperlink w:anchor="page68">
              <w:r>
                <w:rPr>
                  <w:rFonts w:ascii="Arial" w:cs="Arial" w:eastAsia="Arial" w:hAnsi="Arial"/>
                  <w:sz w:val="18"/>
                  <w:szCs w:val="18"/>
                  <w:u w:val="single" w:color="auto"/>
                  <w:color w:val="0000FF"/>
                </w:rPr>
                <w:t>U.S.C. Section 1350, as adopted pursuant to Section 906</w:t>
              </w:r>
            </w:hyperlink>
          </w:p>
        </w:tc>
        <w:tc>
          <w:tcPr>
            <w:tcW w:w="2880" w:type="dxa"/>
            <w:vAlign w:val="bottom"/>
          </w:tcPr>
          <w:p>
            <w:pPr>
              <w:spacing w:after="0"/>
              <w:rPr>
                <w:sz w:val="13"/>
                <w:szCs w:val="13"/>
                <w:color w:val="auto"/>
              </w:rPr>
            </w:pPr>
          </w:p>
        </w:tc>
      </w:tr>
    </w:tbl>
    <w:p>
      <w:pPr>
        <w:ind w:left="1080"/>
        <w:spacing w:after="0"/>
        <w:rPr>
          <w:rFonts w:ascii="Arial" w:cs="Arial" w:eastAsia="Arial" w:hAnsi="Arial"/>
          <w:sz w:val="18"/>
          <w:szCs w:val="18"/>
          <w:u w:val="single" w:color="auto"/>
          <w:color w:val="0000FF"/>
        </w:rPr>
      </w:pPr>
      <w:hyperlink w:anchor="page68">
        <w:r>
          <w:rPr>
            <w:rFonts w:ascii="Arial" w:cs="Arial" w:eastAsia="Arial" w:hAnsi="Arial"/>
            <w:sz w:val="18"/>
            <w:szCs w:val="18"/>
            <w:u w:val="single" w:color="auto"/>
            <w:color w:val="0000FF"/>
          </w:rPr>
          <w:t>of the Sarbanes-Oxley Act of 2002</w:t>
        </w:r>
      </w:hyperlink>
    </w:p>
    <w:p>
      <w:pPr>
        <w:sectPr>
          <w:pgSz w:w="11900" w:h="16838" w:orient="portrait"/>
          <w:cols w:equalWidth="0" w:num="1">
            <w:col w:w="11240"/>
          </w:cols>
          <w:pgMar w:left="320" w:top="125" w:right="339" w:bottom="1440" w:gutter="0" w:footer="0" w:header="0"/>
          <w:type w:val="continuous"/>
        </w:sectPr>
      </w:pPr>
    </w:p>
    <w:tbl>
      <w:tblPr>
        <w:tblLayout w:type="fixed"/>
        <w:tblInd w:w="20" w:type="dxa"/>
        <w:tblCellMar>
          <w:top w:w="0" w:type="dxa"/>
          <w:left w:w="0" w:type="dxa"/>
          <w:bottom w:w="0" w:type="dxa"/>
          <w:right w:w="0" w:type="dxa"/>
        </w:tblCellMar>
      </w:tblPr>
      <w:tr>
        <w:trPr>
          <w:trHeight w:val="196"/>
        </w:trPr>
        <w:tc>
          <w:tcPr>
            <w:tcW w:w="1060" w:type="dxa"/>
            <w:vAlign w:val="bottom"/>
            <w:gridSpan w:val="2"/>
          </w:tcPr>
          <w:p>
            <w:pPr>
              <w:spacing w:after="0" w:line="196" w:lineRule="exact"/>
              <w:rPr>
                <w:rFonts w:ascii="Arial" w:cs="Arial" w:eastAsia="Arial" w:hAnsi="Arial"/>
                <w:sz w:val="18"/>
                <w:szCs w:val="18"/>
                <w:color w:val="0000FF"/>
              </w:rPr>
            </w:pPr>
            <w:hyperlink w:anchor="page69">
              <w:r>
                <w:rPr>
                  <w:rFonts w:ascii="Arial" w:cs="Arial" w:eastAsia="Arial" w:hAnsi="Arial"/>
                  <w:sz w:val="18"/>
                  <w:szCs w:val="18"/>
                  <w:color w:val="0000FF"/>
                </w:rPr>
                <w:t>32.</w:t>
              </w:r>
              <w:r>
                <w:rPr>
                  <w:rFonts w:ascii="Arial" w:cs="Arial" w:eastAsia="Arial" w:hAnsi="Arial"/>
                  <w:sz w:val="18"/>
                  <w:szCs w:val="18"/>
                  <w:u w:val="single" w:color="auto"/>
                  <w:color w:val="0000FF"/>
                </w:rPr>
                <w:t>2</w:t>
              </w:r>
            </w:hyperlink>
          </w:p>
        </w:tc>
        <w:tc>
          <w:tcPr>
            <w:tcW w:w="4100" w:type="dxa"/>
            <w:vAlign w:val="bottom"/>
            <w:gridSpan w:val="4"/>
          </w:tcPr>
          <w:p>
            <w:pPr>
              <w:spacing w:after="0" w:line="196" w:lineRule="exact"/>
              <w:rPr>
                <w:rFonts w:ascii="Arial" w:cs="Arial" w:eastAsia="Arial" w:hAnsi="Arial"/>
                <w:sz w:val="18"/>
                <w:szCs w:val="18"/>
                <w:color w:val="0000FF"/>
                <w:w w:val="97"/>
              </w:rPr>
            </w:pPr>
            <w:hyperlink w:anchor="page69">
              <w:r>
                <w:rPr>
                  <w:rFonts w:ascii="Arial" w:cs="Arial" w:eastAsia="Arial" w:hAnsi="Arial"/>
                  <w:sz w:val="18"/>
                  <w:szCs w:val="18"/>
                  <w:color w:val="0000FF"/>
                  <w:w w:val="97"/>
                </w:rPr>
                <w:t>Certification of Chief Financial Officer pursuant to 18</w:t>
              </w:r>
            </w:hyperlink>
          </w:p>
        </w:tc>
      </w:tr>
      <w:tr>
        <w:trPr>
          <w:trHeight w:val="20"/>
        </w:trPr>
        <w:tc>
          <w:tcPr>
            <w:tcW w:w="32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52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5"/>
        </w:trPr>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100" w:type="dxa"/>
            <w:vAlign w:val="bottom"/>
            <w:gridSpan w:val="4"/>
          </w:tcPr>
          <w:p>
            <w:pPr>
              <w:spacing w:after="0" w:line="156" w:lineRule="exact"/>
              <w:rPr>
                <w:rFonts w:ascii="Arial" w:cs="Arial" w:eastAsia="Arial" w:hAnsi="Arial"/>
                <w:sz w:val="18"/>
                <w:szCs w:val="18"/>
                <w:color w:val="0000FF"/>
                <w:w w:val="89"/>
              </w:rPr>
            </w:pPr>
            <w:hyperlink w:anchor="page69">
              <w:r>
                <w:rPr>
                  <w:rFonts w:ascii="Arial" w:cs="Arial" w:eastAsia="Arial" w:hAnsi="Arial"/>
                  <w:sz w:val="18"/>
                  <w:szCs w:val="18"/>
                  <w:color w:val="0000FF"/>
                  <w:w w:val="89"/>
                </w:rPr>
                <w:t>U.S.C. Section 1350, as adopted pursuant to Section 906</w:t>
              </w:r>
            </w:hyperlink>
          </w:p>
        </w:tc>
      </w:tr>
      <w:tr>
        <w:trPr>
          <w:trHeight w:val="156"/>
        </w:trPr>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52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0"/>
              </w:rPr>
            </w:pPr>
            <w:hyperlink w:anchor="page69">
              <w:r>
                <w:rPr>
                  <w:rFonts w:ascii="Arial" w:cs="Arial" w:eastAsia="Arial" w:hAnsi="Arial"/>
                  <w:sz w:val="18"/>
                  <w:szCs w:val="18"/>
                  <w:color w:val="0000FF"/>
                  <w:w w:val="90"/>
                </w:rPr>
                <w:t>of the Sarbanes-Oxley Act of 2002</w:t>
              </w:r>
            </w:hyperlink>
          </w:p>
        </w:tc>
        <w:tc>
          <w:tcPr>
            <w:tcW w:w="1560" w:type="dxa"/>
            <w:vAlign w:val="bottom"/>
            <w:tcBorders>
              <w:top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96"/>
        </w:trPr>
        <w:tc>
          <w:tcPr>
            <w:tcW w:w="1060" w:type="dxa"/>
            <w:vAlign w:val="bottom"/>
            <w:gridSpan w:val="2"/>
          </w:tcPr>
          <w:p>
            <w:pPr>
              <w:spacing w:after="0" w:line="196" w:lineRule="exact"/>
              <w:rPr>
                <w:sz w:val="20"/>
                <w:szCs w:val="20"/>
                <w:color w:val="auto"/>
              </w:rPr>
            </w:pPr>
            <w:r>
              <w:rPr>
                <w:rFonts w:ascii="Arial" w:cs="Arial" w:eastAsia="Arial" w:hAnsi="Arial"/>
                <w:sz w:val="18"/>
                <w:szCs w:val="18"/>
                <w:color w:val="auto"/>
              </w:rPr>
              <w:t>101.INS</w:t>
            </w:r>
          </w:p>
        </w:tc>
        <w:tc>
          <w:tcPr>
            <w:tcW w:w="4100" w:type="dxa"/>
            <w:vAlign w:val="bottom"/>
            <w:gridSpan w:val="4"/>
          </w:tcPr>
          <w:p>
            <w:pPr>
              <w:spacing w:after="0" w:line="196" w:lineRule="exact"/>
              <w:rPr>
                <w:sz w:val="20"/>
                <w:szCs w:val="20"/>
                <w:color w:val="auto"/>
              </w:rPr>
            </w:pPr>
            <w:r>
              <w:rPr>
                <w:rFonts w:ascii="Arial" w:cs="Arial" w:eastAsia="Arial" w:hAnsi="Arial"/>
                <w:sz w:val="18"/>
                <w:szCs w:val="18"/>
                <w:color w:val="auto"/>
              </w:rPr>
              <w:t>Inline XBRL Instance Document - the instance</w:t>
            </w:r>
          </w:p>
        </w:tc>
      </w:tr>
      <w:tr>
        <w:trPr>
          <w:trHeight w:val="176"/>
        </w:trPr>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100" w:type="dxa"/>
            <w:vAlign w:val="bottom"/>
            <w:gridSpan w:val="4"/>
          </w:tcPr>
          <w:p>
            <w:pPr>
              <w:spacing w:after="0" w:line="176" w:lineRule="exact"/>
              <w:rPr>
                <w:sz w:val="20"/>
                <w:szCs w:val="20"/>
                <w:color w:val="auto"/>
              </w:rPr>
            </w:pPr>
            <w:r>
              <w:rPr>
                <w:rFonts w:ascii="Arial" w:cs="Arial" w:eastAsia="Arial" w:hAnsi="Arial"/>
                <w:sz w:val="18"/>
                <w:szCs w:val="18"/>
                <w:color w:val="auto"/>
                <w:w w:val="96"/>
              </w:rPr>
              <w:t>document does not appear in the Interactive Data file</w:t>
            </w:r>
          </w:p>
        </w:tc>
      </w:tr>
      <w:tr>
        <w:trPr>
          <w:trHeight w:val="175"/>
        </w:trPr>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100" w:type="dxa"/>
            <w:vAlign w:val="bottom"/>
            <w:gridSpan w:val="4"/>
          </w:tcPr>
          <w:p>
            <w:pPr>
              <w:spacing w:after="0" w:line="176" w:lineRule="exact"/>
              <w:rPr>
                <w:sz w:val="20"/>
                <w:szCs w:val="20"/>
                <w:color w:val="auto"/>
              </w:rPr>
            </w:pPr>
            <w:r>
              <w:rPr>
                <w:rFonts w:ascii="Arial" w:cs="Arial" w:eastAsia="Arial" w:hAnsi="Arial"/>
                <w:sz w:val="18"/>
                <w:szCs w:val="18"/>
                <w:color w:val="auto"/>
                <w:w w:val="94"/>
              </w:rPr>
              <w:t>because its XBRL tags are embedded within the Inline</w:t>
            </w:r>
          </w:p>
        </w:tc>
      </w:tr>
      <w:tr>
        <w:trPr>
          <w:trHeight w:val="230"/>
        </w:trPr>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100" w:type="dxa"/>
            <w:vAlign w:val="bottom"/>
            <w:gridSpan w:val="4"/>
          </w:tcPr>
          <w:p>
            <w:pPr>
              <w:spacing w:after="0"/>
              <w:rPr>
                <w:sz w:val="20"/>
                <w:szCs w:val="20"/>
                <w:color w:val="auto"/>
              </w:rPr>
            </w:pPr>
            <w:r>
              <w:rPr>
                <w:rFonts w:ascii="Arial" w:cs="Arial" w:eastAsia="Arial" w:hAnsi="Arial"/>
                <w:sz w:val="18"/>
                <w:szCs w:val="18"/>
                <w:color w:val="auto"/>
              </w:rPr>
              <w:t>XBRL document.</w:t>
            </w: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374" w:lineRule="exact"/>
        <w:rPr>
          <w:sz w:val="20"/>
          <w:szCs w:val="20"/>
          <w:color w:val="auto"/>
        </w:rPr>
      </w:pPr>
    </w:p>
    <w:p>
      <w:pPr>
        <w:ind w:left="40"/>
        <w:spacing w:after="0"/>
        <w:rPr>
          <w:sz w:val="20"/>
          <w:szCs w:val="20"/>
          <w:color w:val="auto"/>
        </w:rPr>
      </w:pPr>
      <w:r>
        <w:rPr>
          <w:rFonts w:ascii="Arial" w:cs="Arial" w:eastAsia="Arial" w:hAnsi="Arial"/>
          <w:sz w:val="18"/>
          <w:szCs w:val="18"/>
          <w:color w:val="auto"/>
        </w:rPr>
        <w:t>*</w:t>
      </w:r>
    </w:p>
    <w:p>
      <w:pPr>
        <w:spacing w:after="0" w:line="538" w:lineRule="exact"/>
        <w:rPr>
          <w:sz w:val="20"/>
          <w:szCs w:val="20"/>
          <w:color w:val="auto"/>
        </w:rPr>
      </w:pPr>
    </w:p>
    <w:p>
      <w:pPr>
        <w:sectPr>
          <w:pgSz w:w="11900" w:h="16838" w:orient="portrait"/>
          <w:cols w:equalWidth="0" w:num="2">
            <w:col w:w="9860" w:space="720"/>
            <w:col w:w="660"/>
          </w:cols>
          <w:pgMar w:left="320" w:top="125" w:right="339" w:bottom="1440" w:gutter="0" w:footer="0" w:header="0"/>
          <w:type w:val="continuous"/>
        </w:sectPr>
      </w:pPr>
    </w:p>
    <w:tbl>
      <w:tblPr>
        <w:tblLayout w:type="fixed"/>
        <w:tblInd w:w="20" w:type="dxa"/>
        <w:tblCellMar>
          <w:top w:w="0" w:type="dxa"/>
          <w:left w:w="0" w:type="dxa"/>
          <w:bottom w:w="0" w:type="dxa"/>
          <w:right w:w="0" w:type="dxa"/>
        </w:tblCellMar>
      </w:tblPr>
      <w:tr>
        <w:trPr>
          <w:trHeight w:val="242"/>
        </w:trPr>
        <w:tc>
          <w:tcPr>
            <w:tcW w:w="860" w:type="dxa"/>
            <w:vAlign w:val="bottom"/>
          </w:tcPr>
          <w:p>
            <w:pPr>
              <w:spacing w:after="0"/>
              <w:rPr>
                <w:sz w:val="20"/>
                <w:szCs w:val="20"/>
                <w:color w:val="auto"/>
              </w:rPr>
            </w:pPr>
            <w:r>
              <w:rPr>
                <w:rFonts w:ascii="Arial" w:cs="Arial" w:eastAsia="Arial" w:hAnsi="Arial"/>
                <w:sz w:val="18"/>
                <w:szCs w:val="18"/>
                <w:color w:val="auto"/>
              </w:rPr>
              <w:t>101.SCH</w:t>
            </w:r>
          </w:p>
        </w:tc>
        <w:tc>
          <w:tcPr>
            <w:tcW w:w="7020" w:type="dxa"/>
            <w:vAlign w:val="bottom"/>
          </w:tcPr>
          <w:p>
            <w:pPr>
              <w:ind w:left="200"/>
              <w:spacing w:after="0"/>
              <w:rPr>
                <w:sz w:val="20"/>
                <w:szCs w:val="20"/>
                <w:color w:val="auto"/>
              </w:rPr>
            </w:pPr>
            <w:r>
              <w:rPr>
                <w:rFonts w:ascii="Arial" w:cs="Arial" w:eastAsia="Arial" w:hAnsi="Arial"/>
                <w:sz w:val="18"/>
                <w:szCs w:val="18"/>
                <w:color w:val="auto"/>
              </w:rPr>
              <w:t>Inline XBRL Taxonomy Extension Schema Document</w:t>
            </w:r>
          </w:p>
        </w:tc>
        <w:tc>
          <w:tcPr>
            <w:tcW w:w="2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101.CAL</w:t>
            </w:r>
          </w:p>
        </w:tc>
        <w:tc>
          <w:tcPr>
            <w:tcW w:w="7020" w:type="dxa"/>
            <w:vAlign w:val="bottom"/>
          </w:tcPr>
          <w:p>
            <w:pPr>
              <w:ind w:left="200"/>
              <w:spacing w:after="0"/>
              <w:rPr>
                <w:sz w:val="20"/>
                <w:szCs w:val="20"/>
                <w:color w:val="auto"/>
              </w:rPr>
            </w:pPr>
            <w:r>
              <w:rPr>
                <w:rFonts w:ascii="Arial" w:cs="Arial" w:eastAsia="Arial" w:hAnsi="Arial"/>
                <w:sz w:val="18"/>
                <w:szCs w:val="18"/>
                <w:color w:val="auto"/>
              </w:rPr>
              <w:t>Inline XBRL Taxonomy Extension Calculation Linkbase</w:t>
            </w:r>
          </w:p>
        </w:tc>
        <w:tc>
          <w:tcPr>
            <w:tcW w:w="2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5"/>
        </w:trPr>
        <w:tc>
          <w:tcPr>
            <w:tcW w:w="86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rPr>
              <w:t>Document</w:t>
            </w:r>
          </w:p>
        </w:tc>
        <w:tc>
          <w:tcPr>
            <w:tcW w:w="2820" w:type="dxa"/>
            <w:vAlign w:val="bottom"/>
          </w:tcPr>
          <w:p>
            <w:pPr>
              <w:spacing w:after="0"/>
              <w:rPr>
                <w:sz w:val="18"/>
                <w:szCs w:val="18"/>
                <w:color w:val="auto"/>
              </w:rPr>
            </w:pPr>
          </w:p>
        </w:tc>
      </w:tr>
      <w:tr>
        <w:trPr>
          <w:trHeight w:val="190"/>
        </w:trPr>
        <w:tc>
          <w:tcPr>
            <w:tcW w:w="860" w:type="dxa"/>
            <w:vAlign w:val="bottom"/>
          </w:tcPr>
          <w:p>
            <w:pPr>
              <w:spacing w:after="0" w:line="190" w:lineRule="exact"/>
              <w:rPr>
                <w:sz w:val="20"/>
                <w:szCs w:val="20"/>
                <w:color w:val="auto"/>
              </w:rPr>
            </w:pPr>
            <w:r>
              <w:rPr>
                <w:rFonts w:ascii="Arial" w:cs="Arial" w:eastAsia="Arial" w:hAnsi="Arial"/>
                <w:sz w:val="18"/>
                <w:szCs w:val="18"/>
                <w:color w:val="auto"/>
              </w:rPr>
              <w:t>101.DEF</w:t>
            </w:r>
          </w:p>
        </w:tc>
        <w:tc>
          <w:tcPr>
            <w:tcW w:w="7020" w:type="dxa"/>
            <w:vAlign w:val="bottom"/>
          </w:tcPr>
          <w:p>
            <w:pPr>
              <w:ind w:left="200"/>
              <w:spacing w:after="0" w:line="190" w:lineRule="exact"/>
              <w:rPr>
                <w:sz w:val="20"/>
                <w:szCs w:val="20"/>
                <w:color w:val="auto"/>
              </w:rPr>
            </w:pPr>
            <w:r>
              <w:rPr>
                <w:rFonts w:ascii="Arial" w:cs="Arial" w:eastAsia="Arial" w:hAnsi="Arial"/>
                <w:sz w:val="18"/>
                <w:szCs w:val="18"/>
                <w:color w:val="auto"/>
              </w:rPr>
              <w:t>Inline XBRL Taxonomy Extension Definition Linkbase</w:t>
            </w:r>
          </w:p>
        </w:tc>
        <w:tc>
          <w:tcPr>
            <w:tcW w:w="2820" w:type="dxa"/>
            <w:vAlign w:val="bottom"/>
          </w:tcPr>
          <w:p>
            <w:pPr>
              <w:jc w:val="right"/>
              <w:spacing w:after="0" w:line="190" w:lineRule="exact"/>
              <w:rPr>
                <w:sz w:val="20"/>
                <w:szCs w:val="20"/>
                <w:color w:val="auto"/>
              </w:rPr>
            </w:pPr>
            <w:r>
              <w:rPr>
                <w:rFonts w:ascii="Arial" w:cs="Arial" w:eastAsia="Arial" w:hAnsi="Arial"/>
                <w:sz w:val="18"/>
                <w:szCs w:val="18"/>
                <w:color w:val="auto"/>
              </w:rPr>
              <w:t>*</w:t>
            </w:r>
          </w:p>
        </w:tc>
      </w:tr>
      <w:tr>
        <w:trPr>
          <w:trHeight w:val="215"/>
        </w:trPr>
        <w:tc>
          <w:tcPr>
            <w:tcW w:w="86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rPr>
              <w:t>Document</w:t>
            </w:r>
          </w:p>
        </w:tc>
        <w:tc>
          <w:tcPr>
            <w:tcW w:w="2820" w:type="dxa"/>
            <w:vAlign w:val="bottom"/>
          </w:tcPr>
          <w:p>
            <w:pPr>
              <w:spacing w:after="0"/>
              <w:rPr>
                <w:sz w:val="18"/>
                <w:szCs w:val="18"/>
                <w:color w:val="auto"/>
              </w:rPr>
            </w:pPr>
          </w:p>
        </w:tc>
      </w:tr>
      <w:tr>
        <w:trPr>
          <w:trHeight w:val="244"/>
        </w:trPr>
        <w:tc>
          <w:tcPr>
            <w:tcW w:w="860" w:type="dxa"/>
            <w:vAlign w:val="bottom"/>
          </w:tcPr>
          <w:p>
            <w:pPr>
              <w:spacing w:after="0"/>
              <w:rPr>
                <w:sz w:val="20"/>
                <w:szCs w:val="20"/>
                <w:color w:val="auto"/>
              </w:rPr>
            </w:pPr>
            <w:r>
              <w:rPr>
                <w:rFonts w:ascii="Arial" w:cs="Arial" w:eastAsia="Arial" w:hAnsi="Arial"/>
                <w:sz w:val="18"/>
                <w:szCs w:val="18"/>
                <w:color w:val="auto"/>
              </w:rPr>
              <w:t>101.LAB</w:t>
            </w:r>
          </w:p>
        </w:tc>
        <w:tc>
          <w:tcPr>
            <w:tcW w:w="7020" w:type="dxa"/>
            <w:vAlign w:val="bottom"/>
          </w:tcPr>
          <w:p>
            <w:pPr>
              <w:ind w:left="200"/>
              <w:spacing w:after="0"/>
              <w:rPr>
                <w:sz w:val="20"/>
                <w:szCs w:val="20"/>
                <w:color w:val="auto"/>
              </w:rPr>
            </w:pPr>
            <w:r>
              <w:rPr>
                <w:rFonts w:ascii="Arial" w:cs="Arial" w:eastAsia="Arial" w:hAnsi="Arial"/>
                <w:sz w:val="18"/>
                <w:szCs w:val="18"/>
                <w:color w:val="auto"/>
              </w:rPr>
              <w:t>Inline XBRL Taxonomy Label Linkbase Document</w:t>
            </w:r>
          </w:p>
        </w:tc>
        <w:tc>
          <w:tcPr>
            <w:tcW w:w="2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101.PRE</w:t>
            </w:r>
          </w:p>
        </w:tc>
        <w:tc>
          <w:tcPr>
            <w:tcW w:w="7020" w:type="dxa"/>
            <w:vAlign w:val="bottom"/>
          </w:tcPr>
          <w:p>
            <w:pPr>
              <w:ind w:left="200"/>
              <w:spacing w:after="0"/>
              <w:rPr>
                <w:sz w:val="20"/>
                <w:szCs w:val="20"/>
                <w:color w:val="auto"/>
              </w:rPr>
            </w:pPr>
            <w:r>
              <w:rPr>
                <w:rFonts w:ascii="Arial" w:cs="Arial" w:eastAsia="Arial" w:hAnsi="Arial"/>
                <w:sz w:val="18"/>
                <w:szCs w:val="18"/>
                <w:color w:val="auto"/>
              </w:rPr>
              <w:t>Inline XBRL Taxonomy Extension Presentation</w:t>
            </w:r>
          </w:p>
        </w:tc>
        <w:tc>
          <w:tcPr>
            <w:tcW w:w="2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5"/>
        </w:trPr>
        <w:tc>
          <w:tcPr>
            <w:tcW w:w="86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rPr>
              <w:t>Linkbase Document</w:t>
            </w:r>
          </w:p>
        </w:tc>
        <w:tc>
          <w:tcPr>
            <w:tcW w:w="2820" w:type="dxa"/>
            <w:vAlign w:val="bottom"/>
          </w:tcPr>
          <w:p>
            <w:pPr>
              <w:spacing w:after="0"/>
              <w:rPr>
                <w:sz w:val="18"/>
                <w:szCs w:val="18"/>
                <w:color w:val="auto"/>
              </w:rPr>
            </w:pPr>
          </w:p>
        </w:tc>
      </w:tr>
      <w:tr>
        <w:trPr>
          <w:trHeight w:val="190"/>
        </w:trPr>
        <w:tc>
          <w:tcPr>
            <w:tcW w:w="860" w:type="dxa"/>
            <w:vAlign w:val="bottom"/>
          </w:tcPr>
          <w:p>
            <w:pPr>
              <w:spacing w:after="0" w:line="190" w:lineRule="exact"/>
              <w:rPr>
                <w:sz w:val="20"/>
                <w:szCs w:val="20"/>
                <w:color w:val="auto"/>
              </w:rPr>
            </w:pPr>
            <w:r>
              <w:rPr>
                <w:rFonts w:ascii="Arial" w:cs="Arial" w:eastAsia="Arial" w:hAnsi="Arial"/>
                <w:sz w:val="18"/>
                <w:szCs w:val="18"/>
                <w:color w:val="auto"/>
              </w:rPr>
              <w:t>104</w:t>
            </w:r>
          </w:p>
        </w:tc>
        <w:tc>
          <w:tcPr>
            <w:tcW w:w="7020" w:type="dxa"/>
            <w:vAlign w:val="bottom"/>
          </w:tcPr>
          <w:p>
            <w:pPr>
              <w:ind w:left="200"/>
              <w:spacing w:after="0" w:line="190" w:lineRule="exact"/>
              <w:rPr>
                <w:sz w:val="20"/>
                <w:szCs w:val="20"/>
                <w:color w:val="auto"/>
              </w:rPr>
            </w:pPr>
            <w:r>
              <w:rPr>
                <w:rFonts w:ascii="Arial" w:cs="Arial" w:eastAsia="Arial" w:hAnsi="Arial"/>
                <w:sz w:val="18"/>
                <w:szCs w:val="18"/>
                <w:color w:val="auto"/>
              </w:rPr>
              <w:t>Cover Page Interactive Data File (formatted as Inline</w:t>
            </w:r>
          </w:p>
        </w:tc>
        <w:tc>
          <w:tcPr>
            <w:tcW w:w="2820" w:type="dxa"/>
            <w:vAlign w:val="bottom"/>
          </w:tcPr>
          <w:p>
            <w:pPr>
              <w:jc w:val="right"/>
              <w:spacing w:after="0" w:line="190" w:lineRule="exact"/>
              <w:rPr>
                <w:sz w:val="20"/>
                <w:szCs w:val="20"/>
                <w:color w:val="auto"/>
              </w:rPr>
            </w:pPr>
            <w:r>
              <w:rPr>
                <w:rFonts w:ascii="Arial" w:cs="Arial" w:eastAsia="Arial" w:hAnsi="Arial"/>
                <w:sz w:val="18"/>
                <w:szCs w:val="18"/>
                <w:color w:val="auto"/>
              </w:rPr>
              <w:t>*</w:t>
            </w:r>
          </w:p>
        </w:tc>
      </w:tr>
      <w:tr>
        <w:trPr>
          <w:trHeight w:val="230"/>
        </w:trPr>
        <w:tc>
          <w:tcPr>
            <w:tcW w:w="860" w:type="dxa"/>
            <w:vAlign w:val="bottom"/>
          </w:tcPr>
          <w:p>
            <w:pPr>
              <w:spacing w:after="0"/>
              <w:rPr>
                <w:sz w:val="20"/>
                <w:szCs w:val="20"/>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rPr>
              <w:t>XBRL and contained in Exhibit 101)</w:t>
            </w:r>
          </w:p>
        </w:tc>
        <w:tc>
          <w:tcPr>
            <w:tcW w:w="2820" w:type="dxa"/>
            <w:vAlign w:val="bottom"/>
          </w:tcPr>
          <w:p>
            <w:pPr>
              <w:spacing w:after="0"/>
              <w:rPr>
                <w:sz w:val="20"/>
                <w:szCs w:val="20"/>
                <w:color w:val="auto"/>
              </w:rPr>
            </w:pPr>
          </w:p>
        </w:tc>
      </w:tr>
    </w:tbl>
    <w:p>
      <w:pPr>
        <w:spacing w:after="0" w:line="114" w:lineRule="exact"/>
        <w:rPr>
          <w:sz w:val="20"/>
          <w:szCs w:val="20"/>
          <w:color w:val="auto"/>
        </w:rPr>
      </w:pPr>
    </w:p>
    <w:p>
      <w:pPr>
        <w:spacing w:after="0"/>
        <w:rPr>
          <w:sz w:val="20"/>
          <w:szCs w:val="20"/>
          <w:color w:val="auto"/>
        </w:rPr>
      </w:pPr>
      <w:r>
        <w:rPr>
          <w:rFonts w:ascii="Arial" w:cs="Arial" w:eastAsia="Arial" w:hAnsi="Arial"/>
          <w:sz w:val="22"/>
          <w:szCs w:val="22"/>
          <w:color w:val="auto"/>
        </w:rPr>
        <w:t>____________</w:t>
      </w:r>
    </w:p>
    <w:p>
      <w:pPr>
        <w:spacing w:after="0" w:line="23" w:lineRule="exact"/>
        <w:rPr>
          <w:sz w:val="20"/>
          <w:szCs w:val="20"/>
          <w:color w:val="auto"/>
        </w:rPr>
      </w:pPr>
    </w:p>
    <w:p>
      <w:pPr>
        <w:ind w:left="560" w:right="60" w:hanging="534"/>
        <w:spacing w:after="0" w:line="235" w:lineRule="auto"/>
        <w:tabs>
          <w:tab w:leader="none" w:pos="5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annexes, schedules, and certain exhibits to this Exhibit have been omitted pursuant to Item 601(b)(2) of Regulation S-K. The Registrant hereby agrees to furnish supplementally a copy of any omitted annex, schedule or exhibit to the SEC upon request.</w:t>
      </w:r>
    </w:p>
    <w:p>
      <w:pPr>
        <w:ind w:left="560" w:hanging="534"/>
        <w:spacing w:after="0"/>
        <w:tabs>
          <w:tab w:leader="none" w:pos="5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560" w:hanging="534"/>
        <w:spacing w:after="0"/>
        <w:tabs>
          <w:tab w:leader="none" w:pos="5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8" w:name="page49"/>
    <w:bookmarkEnd w:id="4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240" w:firstLine="97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3000" w:type="dxa"/>
            <w:vAlign w:val="bottom"/>
          </w:tcPr>
          <w:p>
            <w:pPr>
              <w:spacing w:after="0"/>
              <w:rPr>
                <w:sz w:val="19"/>
                <w:szCs w:val="19"/>
                <w:color w:val="auto"/>
              </w:rPr>
            </w:pPr>
          </w:p>
        </w:tc>
        <w:tc>
          <w:tcPr>
            <w:tcW w:w="8200" w:type="dxa"/>
            <w:vAlign w:val="bottom"/>
            <w:gridSpan w:val="2"/>
          </w:tcPr>
          <w:p>
            <w:pPr>
              <w:ind w:left="1440"/>
              <w:spacing w:after="0"/>
              <w:rPr>
                <w:sz w:val="20"/>
                <w:szCs w:val="20"/>
                <w:color w:val="auto"/>
              </w:rPr>
            </w:pPr>
            <w:r>
              <w:rPr>
                <w:rFonts w:ascii="Arial" w:cs="Arial" w:eastAsia="Arial" w:hAnsi="Arial"/>
                <w:sz w:val="18"/>
                <w:szCs w:val="18"/>
                <w:color w:val="auto"/>
              </w:rPr>
              <w:t>Ouster, Inc.</w:t>
            </w:r>
          </w:p>
        </w:tc>
      </w:tr>
      <w:tr>
        <w:trPr>
          <w:trHeight w:val="230"/>
        </w:trPr>
        <w:tc>
          <w:tcPr>
            <w:tcW w:w="3000" w:type="dxa"/>
            <w:vAlign w:val="bottom"/>
          </w:tcPr>
          <w:p>
            <w:pPr>
              <w:spacing w:after="0"/>
              <w:rPr>
                <w:sz w:val="20"/>
                <w:szCs w:val="20"/>
                <w:color w:val="auto"/>
              </w:rPr>
            </w:pPr>
            <w:r>
              <w:rPr>
                <w:rFonts w:ascii="Arial" w:cs="Arial" w:eastAsia="Arial" w:hAnsi="Arial"/>
                <w:sz w:val="18"/>
                <w:szCs w:val="18"/>
                <w:color w:val="auto"/>
              </w:rPr>
              <w:t>Date: August 9, 2021</w:t>
            </w:r>
          </w:p>
        </w:tc>
        <w:tc>
          <w:tcPr>
            <w:tcW w:w="2200" w:type="dxa"/>
            <w:vAlign w:val="bottom"/>
          </w:tcPr>
          <w:p>
            <w:pPr>
              <w:ind w:left="1440"/>
              <w:spacing w:after="0"/>
              <w:rPr>
                <w:sz w:val="20"/>
                <w:szCs w:val="20"/>
                <w:color w:val="auto"/>
              </w:rPr>
            </w:pPr>
            <w:r>
              <w:rPr>
                <w:rFonts w:ascii="Arial" w:cs="Arial" w:eastAsia="Arial" w:hAnsi="Arial"/>
                <w:sz w:val="18"/>
                <w:szCs w:val="18"/>
                <w:color w:val="auto"/>
              </w:rPr>
              <w:t>By:</w:t>
            </w:r>
          </w:p>
        </w:tc>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Anna Brunelle</w:t>
            </w:r>
          </w:p>
        </w:tc>
      </w:tr>
      <w:tr>
        <w:trPr>
          <w:trHeight w:val="222"/>
        </w:trPr>
        <w:tc>
          <w:tcPr>
            <w:tcW w:w="3000" w:type="dxa"/>
            <w:vAlign w:val="bottom"/>
          </w:tcPr>
          <w:p>
            <w:pPr>
              <w:spacing w:after="0"/>
              <w:rPr>
                <w:sz w:val="19"/>
                <w:szCs w:val="19"/>
                <w:color w:val="auto"/>
              </w:rPr>
            </w:pPr>
          </w:p>
        </w:tc>
        <w:tc>
          <w:tcPr>
            <w:tcW w:w="2200" w:type="dxa"/>
            <w:vAlign w:val="bottom"/>
          </w:tcPr>
          <w:p>
            <w:pPr>
              <w:ind w:left="1440"/>
              <w:spacing w:after="0"/>
              <w:rPr>
                <w:sz w:val="20"/>
                <w:szCs w:val="20"/>
                <w:color w:val="auto"/>
              </w:rPr>
            </w:pPr>
            <w:r>
              <w:rPr>
                <w:rFonts w:ascii="Arial" w:cs="Arial" w:eastAsia="Arial" w:hAnsi="Arial"/>
                <w:sz w:val="18"/>
                <w:szCs w:val="18"/>
                <w:color w:val="auto"/>
              </w:rPr>
              <w:t>Name:</w:t>
            </w:r>
          </w:p>
        </w:tc>
        <w:tc>
          <w:tcPr>
            <w:tcW w:w="6000" w:type="dxa"/>
            <w:vAlign w:val="bottom"/>
          </w:tcPr>
          <w:p>
            <w:pPr>
              <w:ind w:left="20"/>
              <w:spacing w:after="0"/>
              <w:rPr>
                <w:sz w:val="20"/>
                <w:szCs w:val="20"/>
                <w:color w:val="auto"/>
              </w:rPr>
            </w:pPr>
            <w:r>
              <w:rPr>
                <w:rFonts w:ascii="Arial" w:cs="Arial" w:eastAsia="Arial" w:hAnsi="Arial"/>
                <w:sz w:val="18"/>
                <w:szCs w:val="18"/>
                <w:color w:val="auto"/>
              </w:rPr>
              <w:t>Anna Brunelle</w:t>
            </w:r>
          </w:p>
        </w:tc>
      </w:tr>
      <w:tr>
        <w:trPr>
          <w:trHeight w:val="176"/>
        </w:trPr>
        <w:tc>
          <w:tcPr>
            <w:tcW w:w="3000" w:type="dxa"/>
            <w:vAlign w:val="bottom"/>
          </w:tcPr>
          <w:p>
            <w:pPr>
              <w:spacing w:after="0"/>
              <w:rPr>
                <w:sz w:val="15"/>
                <w:szCs w:val="15"/>
                <w:color w:val="auto"/>
              </w:rPr>
            </w:pPr>
          </w:p>
        </w:tc>
        <w:tc>
          <w:tcPr>
            <w:tcW w:w="2200" w:type="dxa"/>
            <w:vAlign w:val="bottom"/>
          </w:tcPr>
          <w:p>
            <w:pPr>
              <w:ind w:left="1440"/>
              <w:spacing w:after="0" w:line="176" w:lineRule="exact"/>
              <w:rPr>
                <w:sz w:val="20"/>
                <w:szCs w:val="20"/>
                <w:color w:val="auto"/>
              </w:rPr>
            </w:pPr>
            <w:r>
              <w:rPr>
                <w:rFonts w:ascii="Arial" w:cs="Arial" w:eastAsia="Arial" w:hAnsi="Arial"/>
                <w:sz w:val="18"/>
                <w:szCs w:val="18"/>
                <w:color w:val="auto"/>
              </w:rPr>
              <w:t>Title:</w:t>
            </w:r>
          </w:p>
        </w:tc>
        <w:tc>
          <w:tcPr>
            <w:tcW w:w="6000" w:type="dxa"/>
            <w:vAlign w:val="bottom"/>
          </w:tcPr>
          <w:p>
            <w:pPr>
              <w:ind w:left="20"/>
              <w:spacing w:after="0" w:line="176" w:lineRule="exact"/>
              <w:rPr>
                <w:sz w:val="20"/>
                <w:szCs w:val="20"/>
                <w:color w:val="auto"/>
              </w:rPr>
            </w:pPr>
            <w:r>
              <w:rPr>
                <w:rFonts w:ascii="Arial" w:cs="Arial" w:eastAsia="Arial" w:hAnsi="Arial"/>
                <w:sz w:val="18"/>
                <w:szCs w:val="18"/>
                <w:color w:val="auto"/>
              </w:rPr>
              <w:t>Chief Financial Officer (</w:t>
            </w:r>
            <w:r>
              <w:rPr>
                <w:rFonts w:ascii="Arial" w:cs="Arial" w:eastAsia="Arial" w:hAnsi="Arial"/>
                <w:sz w:val="18"/>
                <w:szCs w:val="18"/>
                <w:i w:val="1"/>
                <w:iCs w:val="1"/>
                <w:color w:val="auto"/>
              </w:rPr>
              <w:t>principal financial officer and principal accounting</w:t>
            </w:r>
          </w:p>
        </w:tc>
      </w:tr>
      <w:tr>
        <w:trPr>
          <w:trHeight w:val="230"/>
        </w:trPr>
        <w:tc>
          <w:tcPr>
            <w:tcW w:w="30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6000" w:type="dxa"/>
            <w:vAlign w:val="bottom"/>
          </w:tcPr>
          <w:p>
            <w:pPr>
              <w:ind w:left="20"/>
              <w:spacing w:after="0"/>
              <w:rPr>
                <w:sz w:val="20"/>
                <w:szCs w:val="20"/>
                <w:color w:val="auto"/>
              </w:rPr>
            </w:pPr>
            <w:r>
              <w:rPr>
                <w:rFonts w:ascii="Arial" w:cs="Arial" w:eastAsia="Arial" w:hAnsi="Arial"/>
                <w:sz w:val="18"/>
                <w:szCs w:val="18"/>
                <w:i w:val="1"/>
                <w:iCs w:val="1"/>
                <w:color w:val="auto"/>
              </w:rPr>
              <w:t>officer</w:t>
            </w:r>
            <w:r>
              <w:rPr>
                <w:rFonts w:ascii="Arial" w:cs="Arial" w:eastAsia="Arial" w:hAnsi="Arial"/>
                <w:sz w:val="18"/>
                <w:szCs w:val="18"/>
                <w:color w:val="auto"/>
              </w:rPr>
              <w:t>)</w:t>
            </w:r>
          </w:p>
        </w:tc>
      </w:tr>
      <w:tr>
        <w:trPr>
          <w:trHeight w:val="904"/>
        </w:trPr>
        <w:tc>
          <w:tcPr>
            <w:tcW w:w="30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6000" w:type="dxa"/>
            <w:vAlign w:val="bottom"/>
          </w:tcPr>
          <w:p>
            <w:pPr>
              <w:ind w:left="320"/>
              <w:spacing w:after="0"/>
              <w:rPr>
                <w:sz w:val="20"/>
                <w:szCs w:val="20"/>
                <w:color w:val="auto"/>
              </w:rPr>
            </w:pPr>
            <w:r>
              <w:rPr>
                <w:rFonts w:ascii="Arial" w:cs="Arial" w:eastAsia="Arial" w:hAnsi="Arial"/>
                <w:sz w:val="18"/>
                <w:szCs w:val="18"/>
                <w:color w:val="auto"/>
              </w:rPr>
              <w:t>48</w:t>
            </w:r>
          </w:p>
        </w:tc>
      </w:tr>
    </w:tbl>
    <w:p>
      <w:pPr>
        <w:sectPr>
          <w:pgSz w:w="11900" w:h="16838" w:orient="portrait"/>
          <w:cols w:equalWidth="0" w:num="1">
            <w:col w:w="11220"/>
          </w:cols>
          <w:pgMar w:left="320" w:top="125" w:right="359" w:bottom="1440" w:gutter="0" w:footer="0" w:header="0"/>
        </w:sectPr>
      </w:pPr>
    </w:p>
    <w:bookmarkStart w:id="49" w:name="page50"/>
    <w:bookmarkEnd w:id="49"/>
    <w:p>
      <w:pPr>
        <w:spacing w:after="0" w:line="19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OUSTER,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EMPLOYMENT AGREEMENT</w:t>
      </w:r>
    </w:p>
    <w:p>
      <w:pPr>
        <w:spacing w:after="0" w:line="20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This Employment Agreement (the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entered into effective as of March 1, 2021 (the “</w:t>
      </w:r>
      <w:r>
        <w:rPr>
          <w:rFonts w:ascii="Arial" w:cs="Arial" w:eastAsia="Arial" w:hAnsi="Arial"/>
          <w:sz w:val="22"/>
          <w:szCs w:val="22"/>
          <w:b w:val="1"/>
          <w:bCs w:val="1"/>
          <w:i w:val="1"/>
          <w:iCs w:val="1"/>
          <w:color w:val="auto"/>
        </w:rPr>
        <w:t>Effective Date</w:t>
      </w:r>
      <w:r>
        <w:rPr>
          <w:rFonts w:ascii="Arial" w:cs="Arial" w:eastAsia="Arial" w:hAnsi="Arial"/>
          <w:sz w:val="22"/>
          <w:szCs w:val="22"/>
          <w:color w:val="auto"/>
        </w:rPr>
        <w:t>”), is between Ouster, Inc., a Delaware corporation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and Nathan Dickerman (“</w:t>
      </w:r>
      <w:r>
        <w:rPr>
          <w:rFonts w:ascii="Arial" w:cs="Arial" w:eastAsia="Arial" w:hAnsi="Arial"/>
          <w:sz w:val="22"/>
          <w:szCs w:val="22"/>
          <w:b w:val="1"/>
          <w:bCs w:val="1"/>
          <w:i w:val="1"/>
          <w:iCs w:val="1"/>
          <w:color w:val="auto"/>
        </w:rPr>
        <w:t>Executive</w:t>
      </w:r>
      <w:r>
        <w:rPr>
          <w:rFonts w:ascii="Arial" w:cs="Arial" w:eastAsia="Arial" w:hAnsi="Arial"/>
          <w:sz w:val="22"/>
          <w:szCs w:val="22"/>
          <w:color w:val="auto"/>
        </w:rPr>
        <w:t>” and, together with the Company, the “</w:t>
      </w:r>
      <w:r>
        <w:rPr>
          <w:rFonts w:ascii="Arial" w:cs="Arial" w:eastAsia="Arial" w:hAnsi="Arial"/>
          <w:sz w:val="22"/>
          <w:szCs w:val="22"/>
          <w:b w:val="1"/>
          <w:bCs w:val="1"/>
          <w:i w:val="1"/>
          <w:iCs w:val="1"/>
          <w:color w:val="auto"/>
        </w:rPr>
        <w:t>Parties</w:t>
      </w:r>
      <w:r>
        <w:rPr>
          <w:rFonts w:ascii="Arial" w:cs="Arial" w:eastAsia="Arial" w:hAnsi="Arial"/>
          <w:sz w:val="22"/>
          <w:szCs w:val="22"/>
          <w:color w:val="auto"/>
        </w:rPr>
        <w:t>”). This Agreement shall constitute a valid and binding agreement between the Parties effective as of the Effective Date, but the operative provisions hereof shall not become effective until the date Executive commences employment with the Company, which is currently anticipated to be April 12, 2021 (the date Executive actually commences employment with the Company, the “</w:t>
      </w:r>
      <w:r>
        <w:rPr>
          <w:rFonts w:ascii="Arial" w:cs="Arial" w:eastAsia="Arial" w:hAnsi="Arial"/>
          <w:sz w:val="22"/>
          <w:szCs w:val="22"/>
          <w:b w:val="1"/>
          <w:bCs w:val="1"/>
          <w:i w:val="1"/>
          <w:iCs w:val="1"/>
          <w:color w:val="auto"/>
        </w:rPr>
        <w:t>Commencement Date</w:t>
      </w:r>
      <w:r>
        <w:rPr>
          <w:rFonts w:ascii="Arial" w:cs="Arial" w:eastAsia="Arial" w:hAnsi="Arial"/>
          <w:sz w:val="22"/>
          <w:szCs w:val="22"/>
          <w:color w:val="auto"/>
        </w:rPr>
        <w:t>”).</w:t>
      </w:r>
    </w:p>
    <w:p>
      <w:pPr>
        <w:spacing w:after="0" w:line="187"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Company desires to assure itself of the services of Executive by engaging Executive to perform services</w:t>
      </w:r>
      <w:r>
        <w:rPr>
          <w:rFonts w:ascii="Arial" w:cs="Arial" w:eastAsia="Arial" w:hAnsi="Arial"/>
          <w:sz w:val="22"/>
          <w:szCs w:val="22"/>
          <w:b w:val="1"/>
          <w:bCs w:val="1"/>
          <w:color w:val="auto"/>
        </w:rPr>
        <w:t xml:space="preserve"> </w:t>
      </w:r>
      <w:r>
        <w:rPr>
          <w:rFonts w:ascii="Arial" w:cs="Arial" w:eastAsia="Arial" w:hAnsi="Arial"/>
          <w:sz w:val="22"/>
          <w:szCs w:val="22"/>
          <w:color w:val="auto"/>
        </w:rPr>
        <w:t>as an employee of the Company under the terms hereof; and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Executive desires to provide services to the Company on the terms herein provided.</w:t>
      </w:r>
    </w:p>
    <w:p>
      <w:pPr>
        <w:spacing w:after="0" w:line="22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foregoing, and for other good and valuable consideration, including the</w:t>
      </w:r>
      <w:r>
        <w:rPr>
          <w:rFonts w:ascii="Arial" w:cs="Arial" w:eastAsia="Arial" w:hAnsi="Arial"/>
          <w:sz w:val="22"/>
          <w:szCs w:val="22"/>
          <w:b w:val="1"/>
          <w:bCs w:val="1"/>
          <w:color w:val="auto"/>
        </w:rPr>
        <w:t xml:space="preserve"> </w:t>
      </w:r>
      <w:r>
        <w:rPr>
          <w:rFonts w:ascii="Arial" w:cs="Arial" w:eastAsia="Arial" w:hAnsi="Arial"/>
          <w:sz w:val="22"/>
          <w:szCs w:val="22"/>
          <w:color w:val="auto"/>
        </w:rPr>
        <w:t>respective covenants and agreements set forth below, the receipt and sufficiency of which are hereby acknowledged, the Parties hereto agree as follows:</w:t>
      </w:r>
    </w:p>
    <w:p>
      <w:pPr>
        <w:spacing w:after="0" w:line="176" w:lineRule="exact"/>
        <w:rPr>
          <w:sz w:val="20"/>
          <w:szCs w:val="20"/>
          <w:color w:val="auto"/>
        </w:rPr>
      </w:pPr>
    </w:p>
    <w:p>
      <w:pPr>
        <w:ind w:left="1300" w:hanging="644"/>
        <w:spacing w:after="0"/>
        <w:tabs>
          <w:tab w:leader="none" w:pos="1300" w:val="left"/>
        </w:tabs>
        <w:numPr>
          <w:ilvl w:val="0"/>
          <w:numId w:val="13"/>
        </w:numPr>
        <w:rPr>
          <w:rFonts w:ascii="Arial" w:cs="Arial" w:eastAsia="Arial" w:hAnsi="Arial"/>
          <w:sz w:val="22"/>
          <w:szCs w:val="22"/>
          <w:b w:val="1"/>
          <w:bCs w:val="1"/>
          <w:color w:val="auto"/>
        </w:rPr>
      </w:pPr>
      <w:r>
        <w:rPr>
          <w:rFonts w:ascii="Arial" w:cs="Arial" w:eastAsia="Arial" w:hAnsi="Arial"/>
          <w:sz w:val="22"/>
          <w:szCs w:val="22"/>
          <w:b w:val="1"/>
          <w:bCs w:val="1"/>
          <w:color w:val="auto"/>
        </w:rPr>
        <w:t>Employment.</w:t>
      </w:r>
    </w:p>
    <w:p>
      <w:pPr>
        <w:spacing w:after="0" w:line="225" w:lineRule="exact"/>
        <w:rPr>
          <w:rFonts w:ascii="Arial" w:cs="Arial" w:eastAsia="Arial" w:hAnsi="Arial"/>
          <w:sz w:val="22"/>
          <w:szCs w:val="22"/>
          <w:b w:val="1"/>
          <w:bCs w:val="1"/>
          <w:color w:val="auto"/>
        </w:rPr>
      </w:pPr>
    </w:p>
    <w:p>
      <w:pPr>
        <w:ind w:firstLine="1304"/>
        <w:spacing w:after="0" w:line="263" w:lineRule="auto"/>
        <w:tabs>
          <w:tab w:leader="none" w:pos="1939" w:val="left"/>
        </w:tabs>
        <w:numPr>
          <w:ilvl w:val="1"/>
          <w:numId w:val="13"/>
        </w:numPr>
        <w:rPr>
          <w:rFonts w:ascii="Arial" w:cs="Arial" w:eastAsia="Arial" w:hAnsi="Arial"/>
          <w:sz w:val="22"/>
          <w:szCs w:val="22"/>
          <w:b w:val="1"/>
          <w:bCs w:val="1"/>
          <w:color w:val="auto"/>
        </w:rPr>
      </w:pPr>
      <w:r>
        <w:rPr>
          <w:rFonts w:ascii="Arial" w:cs="Arial" w:eastAsia="Arial" w:hAnsi="Arial"/>
          <w:sz w:val="22"/>
          <w:szCs w:val="22"/>
          <w:u w:val="single" w:color="auto"/>
          <w:color w:val="auto"/>
        </w:rPr>
        <w:t>General</w:t>
      </w:r>
      <w:r>
        <w:rPr>
          <w:rFonts w:ascii="Arial" w:cs="Arial" w:eastAsia="Arial" w:hAnsi="Arial"/>
          <w:sz w:val="22"/>
          <w:szCs w:val="22"/>
          <w:color w:val="auto"/>
        </w:rPr>
        <w:t>. The Company shall employ Executive upon the terms and conditions provided herein effective as of the Commencement Date.</w:t>
      </w:r>
    </w:p>
    <w:p>
      <w:pPr>
        <w:spacing w:after="0" w:line="174" w:lineRule="exact"/>
        <w:rPr>
          <w:rFonts w:ascii="Arial" w:cs="Arial" w:eastAsia="Arial" w:hAnsi="Arial"/>
          <w:sz w:val="22"/>
          <w:szCs w:val="22"/>
          <w:b w:val="1"/>
          <w:bCs w:val="1"/>
          <w:color w:val="auto"/>
        </w:rPr>
      </w:pPr>
    </w:p>
    <w:p>
      <w:pPr>
        <w:jc w:val="both"/>
        <w:ind w:firstLine="1304"/>
        <w:spacing w:after="0" w:line="289" w:lineRule="auto"/>
        <w:tabs>
          <w:tab w:leader="none" w:pos="1938" w:val="left"/>
        </w:tabs>
        <w:numPr>
          <w:ilvl w:val="1"/>
          <w:numId w:val="13"/>
        </w:numPr>
        <w:rPr>
          <w:rFonts w:ascii="Arial" w:cs="Arial" w:eastAsia="Arial" w:hAnsi="Arial"/>
          <w:sz w:val="19"/>
          <w:szCs w:val="19"/>
          <w:b w:val="1"/>
          <w:bCs w:val="1"/>
          <w:color w:val="auto"/>
        </w:rPr>
      </w:pPr>
      <w:r>
        <w:rPr>
          <w:rFonts w:ascii="Arial" w:cs="Arial" w:eastAsia="Arial" w:hAnsi="Arial"/>
          <w:sz w:val="19"/>
          <w:szCs w:val="19"/>
          <w:u w:val="single" w:color="auto"/>
          <w:color w:val="auto"/>
        </w:rPr>
        <w:t>Position and Duties</w:t>
      </w:r>
      <w:r>
        <w:rPr>
          <w:rFonts w:ascii="Arial" w:cs="Arial" w:eastAsia="Arial" w:hAnsi="Arial"/>
          <w:sz w:val="19"/>
          <w:szCs w:val="19"/>
          <w:color w:val="auto"/>
        </w:rPr>
        <w:t>. Effective as of the Commencement Date, Executive: (i) shall serve as the Company’s President of Field Operations, with responsibilities, duties, and authority usual and customary for such position, subject to direction by the Chief Executive Officer of the Company (the “</w:t>
      </w:r>
      <w:r>
        <w:rPr>
          <w:rFonts w:ascii="Arial" w:cs="Arial" w:eastAsia="Arial" w:hAnsi="Arial"/>
          <w:sz w:val="19"/>
          <w:szCs w:val="19"/>
          <w:b w:val="1"/>
          <w:bCs w:val="1"/>
          <w:i w:val="1"/>
          <w:iCs w:val="1"/>
          <w:color w:val="auto"/>
        </w:rPr>
        <w:t>CEO</w:t>
      </w:r>
      <w:r>
        <w:rPr>
          <w:rFonts w:ascii="Arial" w:cs="Arial" w:eastAsia="Arial" w:hAnsi="Arial"/>
          <w:sz w:val="19"/>
          <w:szCs w:val="19"/>
          <w:color w:val="auto"/>
        </w:rPr>
        <w:t>”); (ii) shall report directly to the CEO; and (iii) agrees promptly and faithfully to comply with all present and future policies, requirements, rules and regulations, and directions and requests, of the Company in connection with the Company’s business. At the Company’s request, Executive shall serve the Company and/or its subsidiaries and affiliates in such other capacities in addition to the foregoing as the Company shall designate, provided that such additional capacities are consistent with Executive’s position as the Company’s President of Field Operations. In the event that Executive serves in any one or more of such additional capacities, Executive’s compensation shall not automatically be increased on account of such additional service.</w:t>
      </w:r>
    </w:p>
    <w:p>
      <w:pPr>
        <w:spacing w:after="0" w:line="156" w:lineRule="exact"/>
        <w:rPr>
          <w:rFonts w:ascii="Arial" w:cs="Arial" w:eastAsia="Arial" w:hAnsi="Arial"/>
          <w:sz w:val="19"/>
          <w:szCs w:val="19"/>
          <w:b w:val="1"/>
          <w:bCs w:val="1"/>
          <w:color w:val="auto"/>
        </w:rPr>
      </w:pPr>
    </w:p>
    <w:p>
      <w:pPr>
        <w:jc w:val="both"/>
        <w:ind w:firstLine="1304"/>
        <w:spacing w:after="0" w:line="250" w:lineRule="auto"/>
        <w:tabs>
          <w:tab w:leader="none" w:pos="1941" w:val="left"/>
        </w:tabs>
        <w:numPr>
          <w:ilvl w:val="1"/>
          <w:numId w:val="13"/>
        </w:numPr>
        <w:rPr>
          <w:rFonts w:ascii="Arial" w:cs="Arial" w:eastAsia="Arial" w:hAnsi="Arial"/>
          <w:sz w:val="22"/>
          <w:szCs w:val="22"/>
          <w:b w:val="1"/>
          <w:bCs w:val="1"/>
          <w:color w:val="auto"/>
        </w:rPr>
      </w:pPr>
      <w:r>
        <w:rPr>
          <w:rFonts w:ascii="Arial" w:cs="Arial" w:eastAsia="Arial" w:hAnsi="Arial"/>
          <w:sz w:val="22"/>
          <w:szCs w:val="22"/>
          <w:u w:val="single" w:color="auto"/>
          <w:color w:val="auto"/>
        </w:rPr>
        <w:t>Principal Office</w:t>
      </w:r>
      <w:r>
        <w:rPr>
          <w:rFonts w:ascii="Arial" w:cs="Arial" w:eastAsia="Arial" w:hAnsi="Arial"/>
          <w:sz w:val="22"/>
          <w:szCs w:val="22"/>
          <w:color w:val="auto"/>
        </w:rPr>
        <w:t>. Executive shall perform services for the Company at the Company’s offices located in San Francisco, California, or, with the Company’s consent, at any other place in connection with the fulfillment of Executive’s role with the Company; provided, however, that the Company may from time to time require Executive to travel temporarily to other locations in connection with the Company’s business.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ectPr>
          <w:pgSz w:w="11900" w:h="16838" w:orient="portrait"/>
          <w:cols w:equalWidth="0" w:num="1">
            <w:col w:w="11240"/>
          </w:cols>
          <w:pgMar w:left="320" w:top="1440" w:right="339" w:bottom="1440" w:gutter="0" w:footer="0" w:header="0"/>
        </w:sectPr>
      </w:pPr>
    </w:p>
    <w:bookmarkStart w:id="50" w:name="page51"/>
    <w:bookmarkEnd w:id="50"/>
    <w:p>
      <w:pPr>
        <w:spacing w:after="0" w:line="204" w:lineRule="exact"/>
        <w:rPr>
          <w:sz w:val="20"/>
          <w:szCs w:val="20"/>
          <w:color w:val="auto"/>
        </w:rPr>
      </w:pPr>
    </w:p>
    <w:p>
      <w:pPr>
        <w:jc w:val="both"/>
        <w:ind w:firstLine="1304"/>
        <w:spacing w:after="0" w:line="285" w:lineRule="auto"/>
        <w:tabs>
          <w:tab w:leader="none" w:pos="1938" w:val="left"/>
        </w:tabs>
        <w:numPr>
          <w:ilvl w:val="2"/>
          <w:numId w:val="14"/>
        </w:numPr>
        <w:rPr>
          <w:rFonts w:ascii="Arial" w:cs="Arial" w:eastAsia="Arial" w:hAnsi="Arial"/>
          <w:sz w:val="19"/>
          <w:szCs w:val="19"/>
          <w:b w:val="1"/>
          <w:bCs w:val="1"/>
          <w:color w:val="auto"/>
        </w:rPr>
      </w:pPr>
      <w:r>
        <w:rPr>
          <w:rFonts w:ascii="Arial" w:cs="Arial" w:eastAsia="Arial" w:hAnsi="Arial"/>
          <w:sz w:val="19"/>
          <w:szCs w:val="19"/>
          <w:u w:val="single" w:color="auto"/>
          <w:color w:val="auto"/>
        </w:rPr>
        <w:t>Exclusivity</w:t>
      </w:r>
      <w:r>
        <w:rPr>
          <w:rFonts w:ascii="Arial" w:cs="Arial" w:eastAsia="Arial" w:hAnsi="Arial"/>
          <w:sz w:val="19"/>
          <w:szCs w:val="19"/>
          <w:color w:val="auto"/>
        </w:rPr>
        <w:t>. Except with the prior written approval of the CEO (which the CEO may grant or withhold in the CEO’s sole and absolute discretion), Executive shall devote Executive’s best efforts and full working time, attention, and energies to the business of the Company, except during any paid vacation or other excused absence periods. Notwithstanding the foregoing, Executive may, without violating this Section 1(d), (i) as a passive investment, own publicly traded securities in such form or manner as will not require any services by Executive in the operation of the entities in which such securities are owned;</w:t>
      </w:r>
    </w:p>
    <w:p>
      <w:pPr>
        <w:spacing w:after="0" w:line="3" w:lineRule="exact"/>
        <w:rPr>
          <w:rFonts w:ascii="Arial" w:cs="Arial" w:eastAsia="Arial" w:hAnsi="Arial"/>
          <w:sz w:val="19"/>
          <w:szCs w:val="19"/>
          <w:b w:val="1"/>
          <w:bCs w:val="1"/>
          <w:color w:val="auto"/>
        </w:rPr>
      </w:pPr>
    </w:p>
    <w:p>
      <w:pPr>
        <w:jc w:val="both"/>
        <w:ind w:firstLine="8"/>
        <w:spacing w:after="0" w:line="285" w:lineRule="auto"/>
        <w:tabs>
          <w:tab w:leader="none" w:pos="318" w:val="left"/>
        </w:tabs>
        <w:numPr>
          <w:ilvl w:val="0"/>
          <w:numId w:val="15"/>
        </w:numPr>
        <w:rPr>
          <w:rFonts w:ascii="Arial" w:cs="Arial" w:eastAsia="Arial" w:hAnsi="Arial"/>
          <w:sz w:val="19"/>
          <w:szCs w:val="19"/>
          <w:color w:val="auto"/>
        </w:rPr>
      </w:pPr>
      <w:r>
        <w:rPr>
          <w:rFonts w:ascii="Arial" w:cs="Arial" w:eastAsia="Arial" w:hAnsi="Arial"/>
          <w:sz w:val="19"/>
          <w:szCs w:val="19"/>
          <w:color w:val="auto"/>
        </w:rPr>
        <w:t xml:space="preserve">engage in charitable and civic activities; or (iii) engage in other personal passive investment activities, in each case, so long as such interests or activities do not materially interfere to the extent such activities do not, individually or in the aggregate, interfere with or otherwise prevent the performance of Executive’s duties and responsibilities hereunder. Executive may also serve as a member of the board of directors or board of advisors of another organization provided (i) such organization is not a competitor of the Company; (ii) Executive receives prior written approval from the CEO; and (iii) such activities do not individually or in the aggregate interfere with the performance of Executive’s duties under this Agreement, violate the Company’s standards of conduct then in effect, or raise a conflict under the Company’s conflict of interest policies. For the avoidance of doubt, the CEO has approved Executive’s continued service with those organizations set forth on </w:t>
      </w:r>
      <w:r>
        <w:rPr>
          <w:rFonts w:ascii="Arial" w:cs="Arial" w:eastAsia="Arial" w:hAnsi="Arial"/>
          <w:sz w:val="19"/>
          <w:szCs w:val="19"/>
          <w:u w:val="single" w:color="auto"/>
          <w:color w:val="auto"/>
        </w:rPr>
        <w:t>Exhibit A</w:t>
      </w:r>
      <w:r>
        <w:rPr>
          <w:rFonts w:ascii="Arial" w:cs="Arial" w:eastAsia="Arial" w:hAnsi="Arial"/>
          <w:sz w:val="19"/>
          <w:szCs w:val="19"/>
          <w:color w:val="auto"/>
        </w:rPr>
        <w:t>, such approval to continue until the earlier to occur of (a) the CEO’s revocation of such approval in the CEO’s sole and absolute discretion, or (b) such time as such service interferes with the performance of Executive’s duties under this Agreement, violates the Company’s standards of conflict or raises a conflict under the Company’s conflict of interest policies.</w:t>
      </w:r>
    </w:p>
    <w:p>
      <w:pPr>
        <w:spacing w:after="0" w:line="159" w:lineRule="exact"/>
        <w:rPr>
          <w:rFonts w:ascii="Arial" w:cs="Arial" w:eastAsia="Arial" w:hAnsi="Arial"/>
          <w:sz w:val="19"/>
          <w:szCs w:val="19"/>
          <w:color w:val="auto"/>
        </w:rPr>
      </w:pPr>
    </w:p>
    <w:p>
      <w:pPr>
        <w:jc w:val="both"/>
        <w:ind w:firstLine="656"/>
        <w:spacing w:after="0" w:line="315" w:lineRule="auto"/>
        <w:tabs>
          <w:tab w:leader="none" w:pos="1296" w:val="left"/>
        </w:tabs>
        <w:numPr>
          <w:ilvl w:val="1"/>
          <w:numId w:val="15"/>
        </w:numPr>
        <w:rPr>
          <w:rFonts w:ascii="Arial" w:cs="Arial" w:eastAsia="Arial" w:hAnsi="Arial"/>
          <w:sz w:val="19"/>
          <w:szCs w:val="19"/>
          <w:b w:val="1"/>
          <w:bCs w:val="1"/>
          <w:color w:val="auto"/>
        </w:rPr>
      </w:pPr>
      <w:r>
        <w:rPr>
          <w:rFonts w:ascii="Arial" w:cs="Arial" w:eastAsia="Arial" w:hAnsi="Arial"/>
          <w:sz w:val="19"/>
          <w:szCs w:val="19"/>
          <w:b w:val="1"/>
          <w:bCs w:val="1"/>
          <w:color w:val="auto"/>
        </w:rPr>
        <w:t>Term</w:t>
      </w:r>
      <w:r>
        <w:rPr>
          <w:rFonts w:ascii="Arial" w:cs="Arial" w:eastAsia="Arial" w:hAnsi="Arial"/>
          <w:sz w:val="19"/>
          <w:szCs w:val="19"/>
          <w:color w:val="auto"/>
        </w:rPr>
        <w:t>. The period of Executive’s employment under this Agreement shall commence on the Commencement Date</w:t>
      </w:r>
      <w:r>
        <w:rPr>
          <w:rFonts w:ascii="Arial" w:cs="Arial" w:eastAsia="Arial" w:hAnsi="Arial"/>
          <w:sz w:val="19"/>
          <w:szCs w:val="19"/>
          <w:b w:val="1"/>
          <w:bCs w:val="1"/>
          <w:color w:val="auto"/>
        </w:rPr>
        <w:t xml:space="preserve"> </w:t>
      </w:r>
      <w:r>
        <w:rPr>
          <w:rFonts w:ascii="Arial" w:cs="Arial" w:eastAsia="Arial" w:hAnsi="Arial"/>
          <w:sz w:val="19"/>
          <w:szCs w:val="19"/>
          <w:color w:val="auto"/>
        </w:rPr>
        <w:t>and shall continue until Executive’s employment with the Company is terminated pursuant to Section 5. The phrase “</w:t>
      </w:r>
      <w:r>
        <w:rPr>
          <w:rFonts w:ascii="Arial" w:cs="Arial" w:eastAsia="Arial" w:hAnsi="Arial"/>
          <w:sz w:val="19"/>
          <w:szCs w:val="19"/>
          <w:b w:val="1"/>
          <w:bCs w:val="1"/>
          <w:i w:val="1"/>
          <w:iCs w:val="1"/>
          <w:color w:val="auto"/>
        </w:rPr>
        <w:t>Term</w:t>
      </w:r>
      <w:r>
        <w:rPr>
          <w:rFonts w:ascii="Arial" w:cs="Arial" w:eastAsia="Arial" w:hAnsi="Arial"/>
          <w:sz w:val="19"/>
          <w:szCs w:val="19"/>
          <w:color w:val="auto"/>
        </w:rPr>
        <w:t>” as used in this Agreement shall refer to the entire period of employment of Executive by the Company.</w:t>
      </w:r>
    </w:p>
    <w:p>
      <w:pPr>
        <w:spacing w:after="0" w:line="125" w:lineRule="exact"/>
        <w:rPr>
          <w:rFonts w:ascii="Arial" w:cs="Arial" w:eastAsia="Arial" w:hAnsi="Arial"/>
          <w:sz w:val="19"/>
          <w:szCs w:val="19"/>
          <w:b w:val="1"/>
          <w:bCs w:val="1"/>
          <w:color w:val="auto"/>
        </w:rPr>
      </w:pPr>
    </w:p>
    <w:p>
      <w:pPr>
        <w:ind w:left="1300" w:hanging="644"/>
        <w:spacing w:after="0"/>
        <w:tabs>
          <w:tab w:leader="none" w:pos="1300" w:val="left"/>
        </w:tabs>
        <w:numPr>
          <w:ilvl w:val="1"/>
          <w:numId w:val="15"/>
        </w:numPr>
        <w:rPr>
          <w:rFonts w:ascii="Arial" w:cs="Arial" w:eastAsia="Arial" w:hAnsi="Arial"/>
          <w:sz w:val="22"/>
          <w:szCs w:val="22"/>
          <w:b w:val="1"/>
          <w:bCs w:val="1"/>
          <w:color w:val="auto"/>
        </w:rPr>
      </w:pPr>
      <w:r>
        <w:rPr>
          <w:rFonts w:ascii="Arial" w:cs="Arial" w:eastAsia="Arial" w:hAnsi="Arial"/>
          <w:sz w:val="22"/>
          <w:szCs w:val="22"/>
          <w:b w:val="1"/>
          <w:bCs w:val="1"/>
          <w:color w:val="auto"/>
        </w:rPr>
        <w:t>Compensation and Related Matters</w:t>
      </w:r>
      <w:r>
        <w:rPr>
          <w:rFonts w:ascii="Arial" w:cs="Arial" w:eastAsia="Arial" w:hAnsi="Arial"/>
          <w:sz w:val="22"/>
          <w:szCs w:val="22"/>
          <w:color w:val="auto"/>
        </w:rPr>
        <w:t>.</w:t>
      </w:r>
    </w:p>
    <w:p>
      <w:pPr>
        <w:spacing w:after="0" w:line="225" w:lineRule="exact"/>
        <w:rPr>
          <w:rFonts w:ascii="Arial" w:cs="Arial" w:eastAsia="Arial" w:hAnsi="Arial"/>
          <w:sz w:val="22"/>
          <w:szCs w:val="22"/>
          <w:b w:val="1"/>
          <w:bCs w:val="1"/>
          <w:color w:val="auto"/>
        </w:rPr>
      </w:pPr>
    </w:p>
    <w:p>
      <w:pPr>
        <w:jc w:val="both"/>
        <w:ind w:firstLine="1304"/>
        <w:spacing w:after="0" w:line="263" w:lineRule="auto"/>
        <w:tabs>
          <w:tab w:leader="none" w:pos="1939" w:val="left"/>
        </w:tabs>
        <w:numPr>
          <w:ilvl w:val="2"/>
          <w:numId w:val="15"/>
        </w:numPr>
        <w:rPr>
          <w:rFonts w:ascii="Arial" w:cs="Arial" w:eastAsia="Arial" w:hAnsi="Arial"/>
          <w:sz w:val="21"/>
          <w:szCs w:val="21"/>
          <w:b w:val="1"/>
          <w:bCs w:val="1"/>
          <w:color w:val="auto"/>
        </w:rPr>
      </w:pPr>
      <w:r>
        <w:rPr>
          <w:rFonts w:ascii="Arial" w:cs="Arial" w:eastAsia="Arial" w:hAnsi="Arial"/>
          <w:sz w:val="21"/>
          <w:szCs w:val="21"/>
          <w:u w:val="single" w:color="auto"/>
          <w:color w:val="auto"/>
        </w:rPr>
        <w:t>Annual Base Salary</w:t>
      </w:r>
      <w:r>
        <w:rPr>
          <w:rFonts w:ascii="Arial" w:cs="Arial" w:eastAsia="Arial" w:hAnsi="Arial"/>
          <w:sz w:val="21"/>
          <w:szCs w:val="21"/>
          <w:color w:val="auto"/>
        </w:rPr>
        <w:t>. During the Term, Executive shall receive a base salary at the rate of $325,000 per year (as may be increased from time to time, the “</w:t>
      </w:r>
      <w:r>
        <w:rPr>
          <w:rFonts w:ascii="Arial" w:cs="Arial" w:eastAsia="Arial" w:hAnsi="Arial"/>
          <w:sz w:val="21"/>
          <w:szCs w:val="21"/>
          <w:b w:val="1"/>
          <w:bCs w:val="1"/>
          <w:i w:val="1"/>
          <w:iCs w:val="1"/>
          <w:color w:val="auto"/>
        </w:rPr>
        <w:t>Annual Base Salary</w:t>
      </w:r>
      <w:r>
        <w:rPr>
          <w:rFonts w:ascii="Arial" w:cs="Arial" w:eastAsia="Arial" w:hAnsi="Arial"/>
          <w:sz w:val="21"/>
          <w:szCs w:val="21"/>
          <w:color w:val="auto"/>
        </w:rPr>
        <w:t>”). The Annual Base Salary shall be subject to withholdings and deductions and paid to Executive in accordance with the customary payroll practices and procedures of the Company. Such Annual Base Salary shall be reviewed by the CEO, and, as applicable, the Board of Directors of the Company (the “</w:t>
      </w:r>
      <w:r>
        <w:rPr>
          <w:rFonts w:ascii="Arial" w:cs="Arial" w:eastAsia="Arial" w:hAnsi="Arial"/>
          <w:sz w:val="21"/>
          <w:szCs w:val="21"/>
          <w:b w:val="1"/>
          <w:bCs w:val="1"/>
          <w:i w:val="1"/>
          <w:iCs w:val="1"/>
          <w:color w:val="auto"/>
        </w:rPr>
        <w:t>Board</w:t>
      </w:r>
      <w:r>
        <w:rPr>
          <w:rFonts w:ascii="Arial" w:cs="Arial" w:eastAsia="Arial" w:hAnsi="Arial"/>
          <w:sz w:val="21"/>
          <w:szCs w:val="21"/>
          <w:color w:val="auto"/>
        </w:rPr>
        <w:t>”) and/or the Compensation Committee of the Board, not less than annually.</w:t>
      </w:r>
    </w:p>
    <w:p>
      <w:pPr>
        <w:spacing w:after="0" w:line="175" w:lineRule="exact"/>
        <w:rPr>
          <w:rFonts w:ascii="Arial" w:cs="Arial" w:eastAsia="Arial" w:hAnsi="Arial"/>
          <w:sz w:val="21"/>
          <w:szCs w:val="21"/>
          <w:b w:val="1"/>
          <w:bCs w:val="1"/>
          <w:color w:val="auto"/>
        </w:rPr>
      </w:pPr>
    </w:p>
    <w:p>
      <w:pPr>
        <w:jc w:val="both"/>
        <w:ind w:firstLine="1304"/>
        <w:spacing w:after="0" w:line="297" w:lineRule="auto"/>
        <w:tabs>
          <w:tab w:leader="none" w:pos="1938" w:val="left"/>
        </w:tabs>
        <w:numPr>
          <w:ilvl w:val="2"/>
          <w:numId w:val="15"/>
        </w:numPr>
        <w:rPr>
          <w:rFonts w:ascii="Arial" w:cs="Arial" w:eastAsia="Arial" w:hAnsi="Arial"/>
          <w:sz w:val="19"/>
          <w:szCs w:val="19"/>
          <w:b w:val="1"/>
          <w:bCs w:val="1"/>
          <w:color w:val="auto"/>
        </w:rPr>
      </w:pPr>
      <w:r>
        <w:rPr>
          <w:rFonts w:ascii="Arial" w:cs="Arial" w:eastAsia="Arial" w:hAnsi="Arial"/>
          <w:sz w:val="19"/>
          <w:szCs w:val="19"/>
          <w:u w:val="single" w:color="auto"/>
          <w:color w:val="auto"/>
        </w:rPr>
        <w:t>Variable Compensation</w:t>
      </w:r>
      <w:r>
        <w:rPr>
          <w:rFonts w:ascii="Arial" w:cs="Arial" w:eastAsia="Arial" w:hAnsi="Arial"/>
          <w:sz w:val="19"/>
          <w:szCs w:val="19"/>
          <w:color w:val="auto"/>
        </w:rPr>
        <w:t>. Executive shall be eligible to receive variable compensation of up to $325,000 per year (together with Executive’s Annual Base Salary, “</w:t>
      </w:r>
      <w:r>
        <w:rPr>
          <w:rFonts w:ascii="Arial" w:cs="Arial" w:eastAsia="Arial" w:hAnsi="Arial"/>
          <w:sz w:val="19"/>
          <w:szCs w:val="19"/>
          <w:b w:val="1"/>
          <w:bCs w:val="1"/>
          <w:i w:val="1"/>
          <w:iCs w:val="1"/>
          <w:color w:val="auto"/>
        </w:rPr>
        <w:t>On Target Earnings</w:t>
      </w:r>
      <w:r>
        <w:rPr>
          <w:rFonts w:ascii="Arial" w:cs="Arial" w:eastAsia="Arial" w:hAnsi="Arial"/>
          <w:sz w:val="19"/>
          <w:szCs w:val="19"/>
          <w:color w:val="auto"/>
        </w:rPr>
        <w:t>”) under the Company’s Sales Compensation Incentive Plan (the “</w:t>
      </w:r>
      <w:r>
        <w:rPr>
          <w:rFonts w:ascii="Arial" w:cs="Arial" w:eastAsia="Arial" w:hAnsi="Arial"/>
          <w:sz w:val="19"/>
          <w:szCs w:val="19"/>
          <w:b w:val="1"/>
          <w:bCs w:val="1"/>
          <w:i w:val="1"/>
          <w:iCs w:val="1"/>
          <w:color w:val="auto"/>
        </w:rPr>
        <w:t>Sales Incentive Plan</w:t>
      </w:r>
      <w:r>
        <w:rPr>
          <w:rFonts w:ascii="Arial" w:cs="Arial" w:eastAsia="Arial" w:hAnsi="Arial"/>
          <w:sz w:val="19"/>
          <w:szCs w:val="19"/>
          <w:color w:val="auto"/>
        </w:rPr>
        <w:t>”) based on Executive’s achievement of objectives set forth in Schedule A – President of Field Operations (the “</w:t>
      </w:r>
      <w:r>
        <w:rPr>
          <w:rFonts w:ascii="Arial" w:cs="Arial" w:eastAsia="Arial" w:hAnsi="Arial"/>
          <w:sz w:val="19"/>
          <w:szCs w:val="19"/>
          <w:b w:val="1"/>
          <w:bCs w:val="1"/>
          <w:i w:val="1"/>
          <w:iCs w:val="1"/>
          <w:color w:val="auto"/>
        </w:rPr>
        <w:t>Sales Incentive Schedule</w:t>
      </w:r>
      <w:r>
        <w:rPr>
          <w:rFonts w:ascii="Arial" w:cs="Arial" w:eastAsia="Arial" w:hAnsi="Arial"/>
          <w:sz w:val="19"/>
          <w:szCs w:val="19"/>
          <w:color w:val="auto"/>
        </w:rPr>
        <w:t>”). The initial Sales Incentive Schedule shall cover April 1, 2021 through December 31, 2021. Notwithstanding anything in the Sales Incentive Plan and on the Sales Incentive Schedule to the contrary, for the period</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ectPr>
          <w:pgSz w:w="11900" w:h="16838" w:orient="portrait"/>
          <w:cols w:equalWidth="0" w:num="1">
            <w:col w:w="11240"/>
          </w:cols>
          <w:pgMar w:left="320" w:top="1440" w:right="339" w:bottom="1440" w:gutter="0" w:footer="0" w:header="0"/>
        </w:sectPr>
      </w:pPr>
    </w:p>
    <w:bookmarkStart w:id="51" w:name="page52"/>
    <w:bookmarkEnd w:id="51"/>
    <w:p>
      <w:pPr>
        <w:spacing w:after="0" w:line="204"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between April 1, 2021 through June 30, 2021 (the “</w:t>
      </w:r>
      <w:r>
        <w:rPr>
          <w:rFonts w:ascii="Arial" w:cs="Arial" w:eastAsia="Arial" w:hAnsi="Arial"/>
          <w:sz w:val="22"/>
          <w:szCs w:val="22"/>
          <w:b w:val="1"/>
          <w:bCs w:val="1"/>
          <w:i w:val="1"/>
          <w:iCs w:val="1"/>
          <w:color w:val="auto"/>
        </w:rPr>
        <w:t>Second Quarter</w:t>
      </w:r>
      <w:r>
        <w:rPr>
          <w:rFonts w:ascii="Arial" w:cs="Arial" w:eastAsia="Arial" w:hAnsi="Arial"/>
          <w:sz w:val="22"/>
          <w:szCs w:val="22"/>
          <w:color w:val="auto"/>
        </w:rPr>
        <w:t>”) the minimum payable to Executive under the Sales Incentive Plan shall be $81,250 (the “</w:t>
      </w:r>
      <w:r>
        <w:rPr>
          <w:rFonts w:ascii="Arial" w:cs="Arial" w:eastAsia="Arial" w:hAnsi="Arial"/>
          <w:sz w:val="22"/>
          <w:szCs w:val="22"/>
          <w:b w:val="1"/>
          <w:bCs w:val="1"/>
          <w:i w:val="1"/>
          <w:iCs w:val="1"/>
          <w:color w:val="auto"/>
        </w:rPr>
        <w:t>Second Quarter Guarantee</w:t>
      </w:r>
      <w:r>
        <w:rPr>
          <w:rFonts w:ascii="Arial" w:cs="Arial" w:eastAsia="Arial" w:hAnsi="Arial"/>
          <w:sz w:val="22"/>
          <w:szCs w:val="22"/>
          <w:color w:val="auto"/>
        </w:rPr>
        <w:t>”), such minimum to be applied and paid in three equal monthly installments, subject to continued employment through the applicable payment date and less withholdings and deductions. Executive’s variable compensation otherwise shall be paid in accordance with the Sales Incentive Schedule. For the avoidance of doubt, in the event the amount earned under the Sales Incentive Schedule for the Second Quarter is in excess of the Second Quarter Guarantee, the Second Quarter Guarantee shall not apply and Executive shall be paid in accordance with the Sales Incentive Schedule.</w:t>
      </w:r>
    </w:p>
    <w:p>
      <w:pPr>
        <w:spacing w:after="0" w:line="196" w:lineRule="exact"/>
        <w:rPr>
          <w:sz w:val="20"/>
          <w:szCs w:val="20"/>
          <w:color w:val="auto"/>
        </w:rPr>
      </w:pPr>
    </w:p>
    <w:p>
      <w:pPr>
        <w:jc w:val="both"/>
        <w:ind w:firstLine="1304"/>
        <w:spacing w:after="0" w:line="250" w:lineRule="auto"/>
        <w:tabs>
          <w:tab w:leader="none" w:pos="1941" w:val="left"/>
        </w:tabs>
        <w:numPr>
          <w:ilvl w:val="1"/>
          <w:numId w:val="16"/>
        </w:numPr>
        <w:rPr>
          <w:rFonts w:ascii="Arial" w:cs="Arial" w:eastAsia="Arial" w:hAnsi="Arial"/>
          <w:sz w:val="22"/>
          <w:szCs w:val="22"/>
          <w:b w:val="1"/>
          <w:bCs w:val="1"/>
          <w:color w:val="auto"/>
        </w:rPr>
      </w:pPr>
      <w:r>
        <w:rPr>
          <w:rFonts w:ascii="Arial" w:cs="Arial" w:eastAsia="Arial" w:hAnsi="Arial"/>
          <w:sz w:val="22"/>
          <w:szCs w:val="22"/>
          <w:u w:val="single" w:color="auto"/>
          <w:color w:val="auto"/>
        </w:rPr>
        <w:t>Benefits</w:t>
      </w:r>
      <w:r>
        <w:rPr>
          <w:rFonts w:ascii="Arial" w:cs="Arial" w:eastAsia="Arial" w:hAnsi="Arial"/>
          <w:sz w:val="22"/>
          <w:szCs w:val="22"/>
          <w:color w:val="auto"/>
        </w:rPr>
        <w:t>. Executive shall be entitled to participate in such employee and executive benefit plans and programs as the Company may from time to time offer to provide to its executives, subject to the terms and conditions of such plans. Notwithstanding the foregoing, nothing herein is intended, or shall be construed, to require the Company to institute or continue any particular plan or benefit.</w:t>
      </w:r>
    </w:p>
    <w:p>
      <w:pPr>
        <w:spacing w:after="0" w:line="187" w:lineRule="exact"/>
        <w:rPr>
          <w:rFonts w:ascii="Arial" w:cs="Arial" w:eastAsia="Arial" w:hAnsi="Arial"/>
          <w:sz w:val="22"/>
          <w:szCs w:val="22"/>
          <w:b w:val="1"/>
          <w:bCs w:val="1"/>
          <w:color w:val="auto"/>
        </w:rPr>
      </w:pPr>
    </w:p>
    <w:p>
      <w:pPr>
        <w:jc w:val="both"/>
        <w:ind w:firstLine="1304"/>
        <w:spacing w:after="0" w:line="312" w:lineRule="auto"/>
        <w:tabs>
          <w:tab w:leader="none" w:pos="1938" w:val="left"/>
        </w:tabs>
        <w:numPr>
          <w:ilvl w:val="1"/>
          <w:numId w:val="16"/>
        </w:numPr>
        <w:rPr>
          <w:rFonts w:ascii="Arial" w:cs="Arial" w:eastAsia="Arial" w:hAnsi="Arial"/>
          <w:sz w:val="19"/>
          <w:szCs w:val="19"/>
          <w:b w:val="1"/>
          <w:bCs w:val="1"/>
          <w:color w:val="auto"/>
        </w:rPr>
      </w:pPr>
      <w:r>
        <w:rPr>
          <w:rFonts w:ascii="Arial" w:cs="Arial" w:eastAsia="Arial" w:hAnsi="Arial"/>
          <w:sz w:val="19"/>
          <w:szCs w:val="19"/>
          <w:u w:val="single" w:color="auto"/>
          <w:color w:val="auto"/>
        </w:rPr>
        <w:t>Business Expenses</w:t>
      </w:r>
      <w:r>
        <w:rPr>
          <w:rFonts w:ascii="Arial" w:cs="Arial" w:eastAsia="Arial" w:hAnsi="Arial"/>
          <w:sz w:val="19"/>
          <w:szCs w:val="19"/>
          <w:color w:val="auto"/>
        </w:rPr>
        <w:t>. The Company shall reimburse Executive for all reasonable, documented, out-of-pocket travel and other business expenses incurred by Executive in the performance of Executive’s duties to the Company in accordance with the Company’s applicable expense reimbursement policies and procedures as are in effect from time to time.</w:t>
      </w:r>
    </w:p>
    <w:p>
      <w:pPr>
        <w:spacing w:after="0" w:line="133" w:lineRule="exact"/>
        <w:rPr>
          <w:rFonts w:ascii="Arial" w:cs="Arial" w:eastAsia="Arial" w:hAnsi="Arial"/>
          <w:sz w:val="19"/>
          <w:szCs w:val="19"/>
          <w:b w:val="1"/>
          <w:bCs w:val="1"/>
          <w:color w:val="auto"/>
        </w:rPr>
      </w:pPr>
    </w:p>
    <w:p>
      <w:pPr>
        <w:ind w:firstLine="1304"/>
        <w:spacing w:after="0" w:line="263" w:lineRule="auto"/>
        <w:tabs>
          <w:tab w:leader="none" w:pos="1941" w:val="left"/>
        </w:tabs>
        <w:numPr>
          <w:ilvl w:val="1"/>
          <w:numId w:val="16"/>
        </w:numPr>
        <w:rPr>
          <w:rFonts w:ascii="Arial" w:cs="Arial" w:eastAsia="Arial" w:hAnsi="Arial"/>
          <w:sz w:val="22"/>
          <w:szCs w:val="22"/>
          <w:b w:val="1"/>
          <w:bCs w:val="1"/>
          <w:color w:val="auto"/>
        </w:rPr>
      </w:pPr>
      <w:r>
        <w:rPr>
          <w:rFonts w:ascii="Arial" w:cs="Arial" w:eastAsia="Arial" w:hAnsi="Arial"/>
          <w:sz w:val="22"/>
          <w:szCs w:val="22"/>
          <w:u w:val="single" w:color="auto"/>
          <w:color w:val="auto"/>
        </w:rPr>
        <w:t>Vacation</w:t>
      </w:r>
      <w:r>
        <w:rPr>
          <w:rFonts w:ascii="Arial" w:cs="Arial" w:eastAsia="Arial" w:hAnsi="Arial"/>
          <w:sz w:val="22"/>
          <w:szCs w:val="22"/>
          <w:color w:val="auto"/>
        </w:rPr>
        <w:t>. Executive will be entitled to paid vacation in accordance with the Company’s vacation policy, as in effect from time to time.</w:t>
      </w:r>
    </w:p>
    <w:p>
      <w:pPr>
        <w:spacing w:after="0" w:line="168" w:lineRule="exact"/>
        <w:rPr>
          <w:rFonts w:ascii="Arial" w:cs="Arial" w:eastAsia="Arial" w:hAnsi="Arial"/>
          <w:sz w:val="22"/>
          <w:szCs w:val="22"/>
          <w:b w:val="1"/>
          <w:bCs w:val="1"/>
          <w:color w:val="auto"/>
        </w:rPr>
      </w:pPr>
    </w:p>
    <w:p>
      <w:pPr>
        <w:jc w:val="both"/>
        <w:ind w:firstLine="656"/>
        <w:spacing w:after="0" w:line="298" w:lineRule="auto"/>
        <w:tabs>
          <w:tab w:leader="none" w:pos="1296" w:val="left"/>
        </w:tabs>
        <w:numPr>
          <w:ilvl w:val="0"/>
          <w:numId w:val="17"/>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Equity Awards. </w:t>
      </w:r>
      <w:r>
        <w:rPr>
          <w:rFonts w:ascii="Arial" w:cs="Arial" w:eastAsia="Arial" w:hAnsi="Arial"/>
          <w:sz w:val="19"/>
          <w:szCs w:val="19"/>
          <w:color w:val="auto"/>
        </w:rPr>
        <w:t>Following the closing (the “</w:t>
      </w:r>
      <w:r>
        <w:rPr>
          <w:rFonts w:ascii="Arial" w:cs="Arial" w:eastAsia="Arial" w:hAnsi="Arial"/>
          <w:sz w:val="19"/>
          <w:szCs w:val="19"/>
          <w:b w:val="1"/>
          <w:bCs w:val="1"/>
          <w:i w:val="1"/>
          <w:iCs w:val="1"/>
          <w:color w:val="auto"/>
        </w:rPr>
        <w:t>Closing</w:t>
      </w:r>
      <w:r>
        <w:rPr>
          <w:rFonts w:ascii="Arial" w:cs="Arial" w:eastAsia="Arial" w:hAnsi="Arial"/>
          <w:sz w:val="19"/>
          <w:szCs w:val="19"/>
          <w:color w:val="auto"/>
        </w:rPr>
        <w:t>”) of the Company’s business combination with Colonnade</w:t>
      </w:r>
      <w:r>
        <w:rPr>
          <w:rFonts w:ascii="Arial" w:cs="Arial" w:eastAsia="Arial" w:hAnsi="Arial"/>
          <w:sz w:val="19"/>
          <w:szCs w:val="19"/>
          <w:b w:val="1"/>
          <w:bCs w:val="1"/>
          <w:color w:val="auto"/>
        </w:rPr>
        <w:t xml:space="preserve"> </w:t>
      </w:r>
      <w:r>
        <w:rPr>
          <w:rFonts w:ascii="Arial" w:cs="Arial" w:eastAsia="Arial" w:hAnsi="Arial"/>
          <w:sz w:val="19"/>
          <w:szCs w:val="19"/>
          <w:color w:val="auto"/>
        </w:rPr>
        <w:t>Acquisition Corp. (“</w:t>
      </w:r>
      <w:r>
        <w:rPr>
          <w:rFonts w:ascii="Arial" w:cs="Arial" w:eastAsia="Arial" w:hAnsi="Arial"/>
          <w:sz w:val="19"/>
          <w:szCs w:val="19"/>
          <w:b w:val="1"/>
          <w:bCs w:val="1"/>
          <w:i w:val="1"/>
          <w:iCs w:val="1"/>
          <w:color w:val="auto"/>
        </w:rPr>
        <w:t>Ouster PubCo</w:t>
      </w:r>
      <w:r>
        <w:rPr>
          <w:rFonts w:ascii="Arial" w:cs="Arial" w:eastAsia="Arial" w:hAnsi="Arial"/>
          <w:sz w:val="19"/>
          <w:szCs w:val="19"/>
          <w:color w:val="auto"/>
        </w:rPr>
        <w:t>”), subject to approval by the Compensation Committee of the Board of Directors of Ouster PubCo, you will be granted equity awards covering an aggregate number of shares of PubCo common stock equal to eight tenths of one percent (0.8%) of the common stock of Ouster PubCo outstanding as of immediately following the Closing (the “</w:t>
      </w:r>
      <w:r>
        <w:rPr>
          <w:rFonts w:ascii="Arial" w:cs="Arial" w:eastAsia="Arial" w:hAnsi="Arial"/>
          <w:sz w:val="19"/>
          <w:szCs w:val="19"/>
          <w:b w:val="1"/>
          <w:bCs w:val="1"/>
          <w:i w:val="1"/>
          <w:iCs w:val="1"/>
          <w:color w:val="auto"/>
        </w:rPr>
        <w:t>Post</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Close Capitalization</w:t>
      </w:r>
      <w:r>
        <w:rPr>
          <w:rFonts w:ascii="Arial" w:cs="Arial" w:eastAsia="Arial" w:hAnsi="Arial"/>
          <w:sz w:val="19"/>
          <w:szCs w:val="19"/>
          <w:color w:val="auto"/>
        </w:rPr>
        <w:t>”), comprised of an option to purchase Ouster PubCo common stock and an award of restricted stock units.</w:t>
      </w:r>
    </w:p>
    <w:p>
      <w:pPr>
        <w:spacing w:after="0" w:line="148" w:lineRule="exact"/>
        <w:rPr>
          <w:rFonts w:ascii="Arial" w:cs="Arial" w:eastAsia="Arial" w:hAnsi="Arial"/>
          <w:sz w:val="19"/>
          <w:szCs w:val="19"/>
          <w:b w:val="1"/>
          <w:bCs w:val="1"/>
          <w:color w:val="auto"/>
        </w:rPr>
      </w:pPr>
    </w:p>
    <w:p>
      <w:pPr>
        <w:jc w:val="both"/>
        <w:ind w:firstLine="1304"/>
        <w:spacing w:after="0" w:line="264" w:lineRule="auto"/>
        <w:tabs>
          <w:tab w:leader="none" w:pos="1939" w:val="left"/>
        </w:tabs>
        <w:numPr>
          <w:ilvl w:val="1"/>
          <w:numId w:val="17"/>
        </w:numPr>
        <w:rPr>
          <w:rFonts w:ascii="Arial" w:cs="Arial" w:eastAsia="Arial" w:hAnsi="Arial"/>
          <w:sz w:val="20"/>
          <w:szCs w:val="20"/>
          <w:b w:val="1"/>
          <w:bCs w:val="1"/>
          <w:color w:val="auto"/>
        </w:rPr>
      </w:pPr>
      <w:r>
        <w:rPr>
          <w:rFonts w:ascii="Arial" w:cs="Arial" w:eastAsia="Arial" w:hAnsi="Arial"/>
          <w:sz w:val="20"/>
          <w:szCs w:val="20"/>
          <w:u w:val="single" w:color="auto"/>
          <w:color w:val="auto"/>
        </w:rPr>
        <w:t>Option</w:t>
      </w:r>
      <w:r>
        <w:rPr>
          <w:rFonts w:ascii="Arial" w:cs="Arial" w:eastAsia="Arial" w:hAnsi="Arial"/>
          <w:sz w:val="20"/>
          <w:szCs w:val="20"/>
          <w:color w:val="auto"/>
        </w:rPr>
        <w:t>. The Company shall recommend to the Ouster PubCo Board or Compensation Committee of the Board that on, as soon as administratively practicable after the later of the Closing or the Commencement Date, Ouster PubCo grant to Executive an option to purchase a number of shares of Ouster PubCo common stock equal to four tenths of one percent (0.4%) of the common stock of Ouster PubCo outstanding as of immediately following the Closing (the “</w:t>
      </w:r>
      <w:r>
        <w:rPr>
          <w:rFonts w:ascii="Arial" w:cs="Arial" w:eastAsia="Arial" w:hAnsi="Arial"/>
          <w:sz w:val="20"/>
          <w:szCs w:val="20"/>
          <w:b w:val="1"/>
          <w:bCs w:val="1"/>
          <w:i w:val="1"/>
          <w:iCs w:val="1"/>
          <w:color w:val="auto"/>
        </w:rPr>
        <w:t>Option</w:t>
      </w:r>
      <w:r>
        <w:rPr>
          <w:rFonts w:ascii="Arial" w:cs="Arial" w:eastAsia="Arial" w:hAnsi="Arial"/>
          <w:sz w:val="20"/>
          <w:szCs w:val="20"/>
          <w:color w:val="auto"/>
        </w:rPr>
        <w:t>”) pursuant to the Ouster PubCo’s 2021 Incentive Award Plan (the “</w:t>
      </w:r>
      <w:r>
        <w:rPr>
          <w:rFonts w:ascii="Arial" w:cs="Arial" w:eastAsia="Arial" w:hAnsi="Arial"/>
          <w:sz w:val="20"/>
          <w:szCs w:val="20"/>
          <w:b w:val="1"/>
          <w:bCs w:val="1"/>
          <w:i w:val="1"/>
          <w:iCs w:val="1"/>
          <w:color w:val="auto"/>
        </w:rPr>
        <w:t>Plan</w:t>
      </w:r>
      <w:r>
        <w:rPr>
          <w:rFonts w:ascii="Arial" w:cs="Arial" w:eastAsia="Arial" w:hAnsi="Arial"/>
          <w:sz w:val="20"/>
          <w:szCs w:val="20"/>
          <w:color w:val="auto"/>
        </w:rPr>
        <w:t>”) having an exercise price per share equal to the closing trading price of a share of Ouster PubCo common stock as of the date of grant (or the immediately preceding trading day if the date of grant is not a trading day). The Option shall vest and become exercisable as to 25% of the total number of shares of Ouster PubCo common stock initially underlying the Option as of the first anniversary of the Commencement Date and as to 1/48</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of the total number of shares of Ouster PubCo common stock initially underlying the Option as of each monthly anniversary of the Commencement Date, subject to Executive’s continued service to the Company through the applicable vesting date. The Option shall otherwise be subject to the provisions of the Plan and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ectPr>
          <w:pgSz w:w="11900" w:h="16838" w:orient="portrait"/>
          <w:cols w:equalWidth="0" w:num="1">
            <w:col w:w="11240"/>
          </w:cols>
          <w:pgMar w:left="320" w:top="1440" w:right="339" w:bottom="1440" w:gutter="0" w:footer="0" w:header="0"/>
        </w:sectPr>
      </w:pPr>
    </w:p>
    <w:bookmarkStart w:id="52" w:name="page53"/>
    <w:bookmarkEnd w:id="52"/>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an option agreement approved for use under the Plan to be entered into between Executive and the Ouster PubCo.</w:t>
      </w:r>
    </w:p>
    <w:p>
      <w:pPr>
        <w:spacing w:after="0" w:line="220" w:lineRule="exact"/>
        <w:rPr>
          <w:sz w:val="20"/>
          <w:szCs w:val="20"/>
          <w:color w:val="auto"/>
        </w:rPr>
      </w:pPr>
    </w:p>
    <w:p>
      <w:pPr>
        <w:jc w:val="both"/>
        <w:ind w:firstLine="1304"/>
        <w:spacing w:after="0" w:line="255" w:lineRule="auto"/>
        <w:tabs>
          <w:tab w:leader="none" w:pos="1938" w:val="left"/>
        </w:tabs>
        <w:numPr>
          <w:ilvl w:val="1"/>
          <w:numId w:val="18"/>
        </w:numPr>
        <w:rPr>
          <w:rFonts w:ascii="Arial" w:cs="Arial" w:eastAsia="Arial" w:hAnsi="Arial"/>
          <w:sz w:val="20"/>
          <w:szCs w:val="20"/>
          <w:b w:val="1"/>
          <w:bCs w:val="1"/>
          <w:color w:val="auto"/>
        </w:rPr>
      </w:pPr>
      <w:r>
        <w:rPr>
          <w:rFonts w:ascii="Arial" w:cs="Arial" w:eastAsia="Arial" w:hAnsi="Arial"/>
          <w:sz w:val="20"/>
          <w:szCs w:val="20"/>
          <w:u w:val="single" w:color="auto"/>
          <w:color w:val="auto"/>
        </w:rPr>
        <w:t>RSU Award</w:t>
      </w:r>
      <w:r>
        <w:rPr>
          <w:rFonts w:ascii="Arial" w:cs="Arial" w:eastAsia="Arial" w:hAnsi="Arial"/>
          <w:sz w:val="20"/>
          <w:szCs w:val="20"/>
          <w:color w:val="auto"/>
        </w:rPr>
        <w:t>. The Company shall recommend to the Ouster PubCo Board or Compensation Committee of the Board that, on the sixtieth (60</w:t>
      </w:r>
      <w:r>
        <w:rPr>
          <w:rFonts w:ascii="Arial" w:cs="Arial" w:eastAsia="Arial" w:hAnsi="Arial"/>
          <w:sz w:val="26"/>
          <w:szCs w:val="26"/>
          <w:color w:val="auto"/>
          <w:vertAlign w:val="superscript"/>
        </w:rPr>
        <w:t>th</w:t>
      </w:r>
      <w:r>
        <w:rPr>
          <w:rFonts w:ascii="Arial" w:cs="Arial" w:eastAsia="Arial" w:hAnsi="Arial"/>
          <w:sz w:val="20"/>
          <w:szCs w:val="20"/>
          <w:color w:val="auto"/>
        </w:rPr>
        <w:t>) day after the Closing, Ouster PubCo grant to Executive an award of that number of restricted stock units equal to four tenths of one percent (0.4%) of the common stock of Ouster PubCo outstanding as of immediately following the Closing (the “</w:t>
      </w:r>
      <w:r>
        <w:rPr>
          <w:rFonts w:ascii="Arial" w:cs="Arial" w:eastAsia="Arial" w:hAnsi="Arial"/>
          <w:sz w:val="20"/>
          <w:szCs w:val="20"/>
          <w:b w:val="1"/>
          <w:bCs w:val="1"/>
          <w:i w:val="1"/>
          <w:iCs w:val="1"/>
          <w:color w:val="auto"/>
        </w:rPr>
        <w:t>RSUs</w:t>
      </w:r>
      <w:r>
        <w:rPr>
          <w:rFonts w:ascii="Arial" w:cs="Arial" w:eastAsia="Arial" w:hAnsi="Arial"/>
          <w:sz w:val="20"/>
          <w:szCs w:val="20"/>
          <w:color w:val="auto"/>
        </w:rPr>
        <w:t>”) pursuant to the Plan. Each RSU shall represent the right to be issued one share of Ouster PubCo common stock upon the vesting of the RSU. The award of RSUs shall vest as to 25% of the total number of RSUs initially underlying the award as of the first anniversary of Ouster PubCo’s standard quarterly vesting date first following the Commencement Date (the “</w:t>
      </w:r>
      <w:r>
        <w:rPr>
          <w:rFonts w:ascii="Arial" w:cs="Arial" w:eastAsia="Arial" w:hAnsi="Arial"/>
          <w:sz w:val="20"/>
          <w:szCs w:val="20"/>
          <w:b w:val="1"/>
          <w:bCs w:val="1"/>
          <w:i w:val="1"/>
          <w:iCs w:val="1"/>
          <w:color w:val="auto"/>
        </w:rPr>
        <w:t>Vesting Commencement Date</w:t>
      </w:r>
      <w:r>
        <w:rPr>
          <w:rFonts w:ascii="Arial" w:cs="Arial" w:eastAsia="Arial" w:hAnsi="Arial"/>
          <w:sz w:val="20"/>
          <w:szCs w:val="20"/>
          <w:color w:val="auto"/>
        </w:rPr>
        <w:t>”) and as to 1/16</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of the total number of RSUs initially underlying the award as of each quarterly anniversary of the Vesting Commencement Date, subject to Executive’s continued service to the Company through the applicable vesting date. The RSUs shall otherwise be subject to the provisions of the Plan and an RSU agreement approved for use under the Plan to be entered into between Executive and the Ouster PubCo.</w:t>
      </w:r>
    </w:p>
    <w:p>
      <w:pPr>
        <w:spacing w:after="0" w:line="190" w:lineRule="exact"/>
        <w:rPr>
          <w:rFonts w:ascii="Arial" w:cs="Arial" w:eastAsia="Arial" w:hAnsi="Arial"/>
          <w:sz w:val="20"/>
          <w:szCs w:val="20"/>
          <w:b w:val="1"/>
          <w:bCs w:val="1"/>
          <w:color w:val="auto"/>
        </w:rPr>
      </w:pPr>
    </w:p>
    <w:p>
      <w:pPr>
        <w:ind w:firstLine="1304"/>
        <w:spacing w:after="0" w:line="263" w:lineRule="auto"/>
        <w:tabs>
          <w:tab w:leader="none" w:pos="1941" w:val="left"/>
        </w:tabs>
        <w:numPr>
          <w:ilvl w:val="1"/>
          <w:numId w:val="18"/>
        </w:numPr>
        <w:rPr>
          <w:rFonts w:ascii="Arial" w:cs="Arial" w:eastAsia="Arial" w:hAnsi="Arial"/>
          <w:sz w:val="22"/>
          <w:szCs w:val="22"/>
          <w:b w:val="1"/>
          <w:bCs w:val="1"/>
          <w:color w:val="auto"/>
        </w:rPr>
      </w:pPr>
      <w:r>
        <w:rPr>
          <w:rFonts w:ascii="Arial" w:cs="Arial" w:eastAsia="Arial" w:hAnsi="Arial"/>
          <w:sz w:val="22"/>
          <w:szCs w:val="22"/>
          <w:u w:val="single" w:color="auto"/>
          <w:color w:val="auto"/>
        </w:rPr>
        <w:t>Eligibility</w:t>
      </w:r>
      <w:r>
        <w:rPr>
          <w:rFonts w:ascii="Arial" w:cs="Arial" w:eastAsia="Arial" w:hAnsi="Arial"/>
          <w:sz w:val="22"/>
          <w:szCs w:val="22"/>
          <w:color w:val="auto"/>
        </w:rPr>
        <w:t>. Commencing in 2023, Executive shall be eligible for the discretionary grant of stock options and other equity awards as may be determined by the Board or its Compensation Committee.</w:t>
      </w:r>
    </w:p>
    <w:p>
      <w:pPr>
        <w:spacing w:after="0" w:line="168" w:lineRule="exact"/>
        <w:rPr>
          <w:rFonts w:ascii="Arial" w:cs="Arial" w:eastAsia="Arial" w:hAnsi="Arial"/>
          <w:sz w:val="22"/>
          <w:szCs w:val="22"/>
          <w:b w:val="1"/>
          <w:bCs w:val="1"/>
          <w:color w:val="auto"/>
        </w:rPr>
      </w:pPr>
    </w:p>
    <w:p>
      <w:pPr>
        <w:ind w:left="1300" w:hanging="644"/>
        <w:spacing w:after="0"/>
        <w:tabs>
          <w:tab w:leader="none" w:pos="1300" w:val="left"/>
        </w:tabs>
        <w:numPr>
          <w:ilvl w:val="0"/>
          <w:numId w:val="19"/>
        </w:numPr>
        <w:rPr>
          <w:rFonts w:ascii="Arial" w:cs="Arial" w:eastAsia="Arial" w:hAnsi="Arial"/>
          <w:sz w:val="22"/>
          <w:szCs w:val="22"/>
          <w:b w:val="1"/>
          <w:bCs w:val="1"/>
          <w:color w:val="auto"/>
        </w:rPr>
      </w:pPr>
      <w:r>
        <w:rPr>
          <w:rFonts w:ascii="Arial" w:cs="Arial" w:eastAsia="Arial" w:hAnsi="Arial"/>
          <w:sz w:val="22"/>
          <w:szCs w:val="22"/>
          <w:b w:val="1"/>
          <w:bCs w:val="1"/>
          <w:color w:val="auto"/>
        </w:rPr>
        <w:t>Termination.</w:t>
      </w:r>
    </w:p>
    <w:p>
      <w:pPr>
        <w:spacing w:after="0" w:line="225" w:lineRule="exact"/>
        <w:rPr>
          <w:rFonts w:ascii="Arial" w:cs="Arial" w:eastAsia="Arial" w:hAnsi="Arial"/>
          <w:sz w:val="22"/>
          <w:szCs w:val="22"/>
          <w:b w:val="1"/>
          <w:bCs w:val="1"/>
          <w:color w:val="auto"/>
        </w:rPr>
      </w:pPr>
    </w:p>
    <w:p>
      <w:pPr>
        <w:jc w:val="both"/>
        <w:ind w:firstLine="1304"/>
        <w:spacing w:after="0" w:line="258" w:lineRule="auto"/>
        <w:tabs>
          <w:tab w:leader="none" w:pos="1939" w:val="left"/>
        </w:tabs>
        <w:numPr>
          <w:ilvl w:val="1"/>
          <w:numId w:val="19"/>
        </w:numPr>
        <w:rPr>
          <w:rFonts w:ascii="Arial" w:cs="Arial" w:eastAsia="Arial" w:hAnsi="Arial"/>
          <w:sz w:val="21"/>
          <w:szCs w:val="21"/>
          <w:b w:val="1"/>
          <w:bCs w:val="1"/>
          <w:color w:val="auto"/>
        </w:rPr>
      </w:pPr>
      <w:r>
        <w:rPr>
          <w:rFonts w:ascii="Arial" w:cs="Arial" w:eastAsia="Arial" w:hAnsi="Arial"/>
          <w:sz w:val="21"/>
          <w:szCs w:val="21"/>
          <w:u w:val="single" w:color="auto"/>
          <w:color w:val="auto"/>
        </w:rPr>
        <w:t>At-Will Employment</w:t>
      </w:r>
      <w:r>
        <w:rPr>
          <w:rFonts w:ascii="Arial" w:cs="Arial" w:eastAsia="Arial" w:hAnsi="Arial"/>
          <w:sz w:val="21"/>
          <w:szCs w:val="21"/>
          <w:color w:val="auto"/>
        </w:rPr>
        <w:t>. The Company and Executive acknowledge that Executive’s employment is and shall continue to be at-will, as defined under applicable law. This means that it is not for any specified period of time and, subject to any ramifications under Section 6 of this Agreement, can be terminated by Executive or by the Company at any time, with or without advance notice, and for any or no particular reason or cause. It also means that Executive’s job duties, title, and responsibility and reporting level, work schedule, compensation, and benefits, as well as the Company’s personnel policies and procedures, may be changed with prospective effect, with or without notice, at any time in the sole discretion of the Company (subject to any ramification such changes may have under Section 6 of this Agreement). This “at-will” nature of Executive’s employment shall remain unchanged during Executive’s tenure as an employee and may not be changed, except in an express writing signed by Executive and a duly-authorized officer of the Company. If Executive’s employment terminates for any lawful reason, Executive shall not be entitled to any payments, benefits, damages, award, or compensation other than as provided in this Agreement.</w:t>
      </w:r>
    </w:p>
    <w:p>
      <w:pPr>
        <w:spacing w:after="0" w:line="181" w:lineRule="exact"/>
        <w:rPr>
          <w:rFonts w:ascii="Arial" w:cs="Arial" w:eastAsia="Arial" w:hAnsi="Arial"/>
          <w:sz w:val="21"/>
          <w:szCs w:val="21"/>
          <w:b w:val="1"/>
          <w:bCs w:val="1"/>
          <w:color w:val="auto"/>
        </w:rPr>
      </w:pPr>
    </w:p>
    <w:p>
      <w:pPr>
        <w:jc w:val="both"/>
        <w:ind w:firstLine="1304"/>
        <w:spacing w:after="0" w:line="247" w:lineRule="auto"/>
        <w:tabs>
          <w:tab w:leader="none" w:pos="1938" w:val="left"/>
        </w:tabs>
        <w:numPr>
          <w:ilvl w:val="1"/>
          <w:numId w:val="19"/>
        </w:numPr>
        <w:rPr>
          <w:rFonts w:ascii="Arial" w:cs="Arial" w:eastAsia="Arial" w:hAnsi="Arial"/>
          <w:sz w:val="22"/>
          <w:szCs w:val="22"/>
          <w:b w:val="1"/>
          <w:bCs w:val="1"/>
          <w:color w:val="auto"/>
        </w:rPr>
      </w:pPr>
      <w:r>
        <w:rPr>
          <w:rFonts w:ascii="Arial" w:cs="Arial" w:eastAsia="Arial" w:hAnsi="Arial"/>
          <w:sz w:val="22"/>
          <w:szCs w:val="22"/>
          <w:u w:val="single" w:color="auto"/>
          <w:color w:val="auto"/>
        </w:rPr>
        <w:t>Notice of Termination</w:t>
      </w:r>
      <w:r>
        <w:rPr>
          <w:rFonts w:ascii="Arial" w:cs="Arial" w:eastAsia="Arial" w:hAnsi="Arial"/>
          <w:sz w:val="22"/>
          <w:szCs w:val="22"/>
          <w:color w:val="auto"/>
        </w:rPr>
        <w:t>. During the Term, any termination of Executive’s employment by the Company or by Executive (other than by reason of death) shall be communicated by written notice (a “</w:t>
      </w:r>
      <w:r>
        <w:rPr>
          <w:rFonts w:ascii="Arial" w:cs="Arial" w:eastAsia="Arial" w:hAnsi="Arial"/>
          <w:sz w:val="22"/>
          <w:szCs w:val="22"/>
          <w:b w:val="1"/>
          <w:bCs w:val="1"/>
          <w:i w:val="1"/>
          <w:iCs w:val="1"/>
          <w:color w:val="auto"/>
        </w:rPr>
        <w:t>Notice of Termination</w:t>
      </w:r>
      <w:r>
        <w:rPr>
          <w:rFonts w:ascii="Arial" w:cs="Arial" w:eastAsia="Arial" w:hAnsi="Arial"/>
          <w:sz w:val="22"/>
          <w:szCs w:val="22"/>
          <w:color w:val="auto"/>
        </w:rPr>
        <w:t>”) from one Party hereto to the other Party hereto (i) indicating the specific termination provision in this Agreement relied upon, if any, (ii) setting forth in reasonable detail the facts and circumstances claimed to provide a basis for termination of Executive’s employment under the provision so indicated, and (iii) specifying the Date of Termination (as defined below). The failure by the Company to set forth in the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ectPr>
          <w:pgSz w:w="11900" w:h="16838" w:orient="portrait"/>
          <w:cols w:equalWidth="0" w:num="1">
            <w:col w:w="11240"/>
          </w:cols>
          <w:pgMar w:left="320" w:top="1440" w:right="339" w:bottom="1440" w:gutter="0" w:footer="0" w:header="0"/>
        </w:sectPr>
      </w:pPr>
    </w:p>
    <w:bookmarkStart w:id="53" w:name="page54"/>
    <w:bookmarkEnd w:id="53"/>
    <w:p>
      <w:pPr>
        <w:spacing w:after="0" w:line="204"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Notice of Termination all of the facts and circumstances which contribute to a showing of Cause (as defined below) shall not waive any right of the Company hereunder or preclude the Company from asserting such fact or circumstance in enforcing its rights hereunder.</w:t>
      </w:r>
    </w:p>
    <w:p>
      <w:pPr>
        <w:spacing w:after="0" w:line="185" w:lineRule="exact"/>
        <w:rPr>
          <w:sz w:val="20"/>
          <w:szCs w:val="20"/>
          <w:color w:val="auto"/>
        </w:rPr>
      </w:pPr>
    </w:p>
    <w:p>
      <w:pPr>
        <w:ind w:firstLine="1304"/>
        <w:spacing w:after="0" w:line="263" w:lineRule="auto"/>
        <w:tabs>
          <w:tab w:leader="none" w:pos="1941" w:val="left"/>
        </w:tabs>
        <w:numPr>
          <w:ilvl w:val="1"/>
          <w:numId w:val="20"/>
        </w:numPr>
        <w:rPr>
          <w:rFonts w:ascii="Arial" w:cs="Arial" w:eastAsia="Arial" w:hAnsi="Arial"/>
          <w:sz w:val="22"/>
          <w:szCs w:val="22"/>
          <w:b w:val="1"/>
          <w:bCs w:val="1"/>
          <w:color w:val="auto"/>
        </w:rPr>
      </w:pPr>
      <w:r>
        <w:rPr>
          <w:rFonts w:ascii="Arial" w:cs="Arial" w:eastAsia="Arial" w:hAnsi="Arial"/>
          <w:sz w:val="22"/>
          <w:szCs w:val="22"/>
          <w:u w:val="single" w:color="auto"/>
          <w:color w:val="auto"/>
        </w:rPr>
        <w:t>Date of Termination</w:t>
      </w:r>
      <w:r>
        <w:rPr>
          <w:rFonts w:ascii="Arial" w:cs="Arial" w:eastAsia="Arial" w:hAnsi="Arial"/>
          <w:sz w:val="22"/>
          <w:szCs w:val="22"/>
          <w:color w:val="auto"/>
        </w:rPr>
        <w:t>. For purposes of this Agreement, “</w:t>
      </w:r>
      <w:r>
        <w:rPr>
          <w:rFonts w:ascii="Arial" w:cs="Arial" w:eastAsia="Arial" w:hAnsi="Arial"/>
          <w:sz w:val="22"/>
          <w:szCs w:val="22"/>
          <w:b w:val="1"/>
          <w:bCs w:val="1"/>
          <w:i w:val="1"/>
          <w:iCs w:val="1"/>
          <w:color w:val="auto"/>
        </w:rPr>
        <w:t>Date of Termination</w:t>
      </w:r>
      <w:r>
        <w:rPr>
          <w:rFonts w:ascii="Arial" w:cs="Arial" w:eastAsia="Arial" w:hAnsi="Arial"/>
          <w:sz w:val="22"/>
          <w:szCs w:val="22"/>
          <w:color w:val="auto"/>
        </w:rPr>
        <w:t>” shall mean the date of the termination of Executive’s employment with the Company specified in a Notice of Termination.</w:t>
      </w:r>
    </w:p>
    <w:p>
      <w:pPr>
        <w:spacing w:after="0" w:line="174" w:lineRule="exact"/>
        <w:rPr>
          <w:rFonts w:ascii="Arial" w:cs="Arial" w:eastAsia="Arial" w:hAnsi="Arial"/>
          <w:sz w:val="22"/>
          <w:szCs w:val="22"/>
          <w:b w:val="1"/>
          <w:bCs w:val="1"/>
          <w:color w:val="auto"/>
        </w:rPr>
      </w:pPr>
    </w:p>
    <w:p>
      <w:pPr>
        <w:jc w:val="both"/>
        <w:ind w:firstLine="1304"/>
        <w:spacing w:after="0" w:line="312" w:lineRule="auto"/>
        <w:tabs>
          <w:tab w:leader="none" w:pos="1938" w:val="left"/>
        </w:tabs>
        <w:numPr>
          <w:ilvl w:val="1"/>
          <w:numId w:val="20"/>
        </w:numPr>
        <w:rPr>
          <w:rFonts w:ascii="Arial" w:cs="Arial" w:eastAsia="Arial" w:hAnsi="Arial"/>
          <w:sz w:val="19"/>
          <w:szCs w:val="19"/>
          <w:b w:val="1"/>
          <w:bCs w:val="1"/>
          <w:color w:val="auto"/>
        </w:rPr>
      </w:pPr>
      <w:r>
        <w:rPr>
          <w:rFonts w:ascii="Arial" w:cs="Arial" w:eastAsia="Arial" w:hAnsi="Arial"/>
          <w:sz w:val="19"/>
          <w:szCs w:val="19"/>
          <w:u w:val="single" w:color="auto"/>
          <w:color w:val="auto"/>
        </w:rPr>
        <w:t>Deemed Resignation</w:t>
      </w:r>
      <w:r>
        <w:rPr>
          <w:rFonts w:ascii="Arial" w:cs="Arial" w:eastAsia="Arial" w:hAnsi="Arial"/>
          <w:sz w:val="19"/>
          <w:szCs w:val="19"/>
          <w:color w:val="auto"/>
        </w:rPr>
        <w:t>. Upon termination of Executive’s employment for any reason, Executive shall be deemed to have resigned from all offices and board memberships, if any, then held with the Company or any of its affiliates, and, at the Company’s request, Executive shall execute such documents as are necessary or desirable to effectuate such resignations.</w:t>
      </w:r>
    </w:p>
    <w:p>
      <w:pPr>
        <w:spacing w:after="0" w:line="127" w:lineRule="exact"/>
        <w:rPr>
          <w:rFonts w:ascii="Arial" w:cs="Arial" w:eastAsia="Arial" w:hAnsi="Arial"/>
          <w:sz w:val="19"/>
          <w:szCs w:val="19"/>
          <w:b w:val="1"/>
          <w:bCs w:val="1"/>
          <w:color w:val="auto"/>
        </w:rPr>
      </w:pPr>
    </w:p>
    <w:p>
      <w:pPr>
        <w:ind w:left="1300" w:hanging="644"/>
        <w:spacing w:after="0"/>
        <w:tabs>
          <w:tab w:leader="none" w:pos="1300" w:val="left"/>
        </w:tabs>
        <w:numPr>
          <w:ilvl w:val="0"/>
          <w:numId w:val="21"/>
        </w:numPr>
        <w:rPr>
          <w:rFonts w:ascii="Arial" w:cs="Arial" w:eastAsia="Arial" w:hAnsi="Arial"/>
          <w:sz w:val="22"/>
          <w:szCs w:val="22"/>
          <w:b w:val="1"/>
          <w:bCs w:val="1"/>
          <w:color w:val="auto"/>
        </w:rPr>
      </w:pPr>
      <w:r>
        <w:rPr>
          <w:rFonts w:ascii="Arial" w:cs="Arial" w:eastAsia="Arial" w:hAnsi="Arial"/>
          <w:sz w:val="22"/>
          <w:szCs w:val="22"/>
          <w:b w:val="1"/>
          <w:bCs w:val="1"/>
          <w:color w:val="auto"/>
        </w:rPr>
        <w:t>Consequences of Termination</w:t>
      </w:r>
      <w:r>
        <w:rPr>
          <w:rFonts w:ascii="Arial" w:cs="Arial" w:eastAsia="Arial" w:hAnsi="Arial"/>
          <w:sz w:val="22"/>
          <w:szCs w:val="22"/>
          <w:color w:val="auto"/>
        </w:rPr>
        <w:t>.</w:t>
      </w:r>
    </w:p>
    <w:p>
      <w:pPr>
        <w:spacing w:after="0" w:line="225" w:lineRule="exact"/>
        <w:rPr>
          <w:rFonts w:ascii="Arial" w:cs="Arial" w:eastAsia="Arial" w:hAnsi="Arial"/>
          <w:sz w:val="22"/>
          <w:szCs w:val="22"/>
          <w:b w:val="1"/>
          <w:bCs w:val="1"/>
          <w:color w:val="auto"/>
        </w:rPr>
      </w:pPr>
    </w:p>
    <w:p>
      <w:pPr>
        <w:jc w:val="both"/>
        <w:ind w:firstLine="1304"/>
        <w:spacing w:after="0" w:line="288" w:lineRule="auto"/>
        <w:tabs>
          <w:tab w:leader="none" w:pos="1939" w:val="left"/>
        </w:tabs>
        <w:numPr>
          <w:ilvl w:val="1"/>
          <w:numId w:val="21"/>
        </w:numPr>
        <w:rPr>
          <w:rFonts w:ascii="Arial" w:cs="Arial" w:eastAsia="Arial" w:hAnsi="Arial"/>
          <w:sz w:val="19"/>
          <w:szCs w:val="19"/>
          <w:b w:val="1"/>
          <w:bCs w:val="1"/>
          <w:color w:val="auto"/>
        </w:rPr>
      </w:pPr>
      <w:r>
        <w:rPr>
          <w:rFonts w:ascii="Arial" w:cs="Arial" w:eastAsia="Arial" w:hAnsi="Arial"/>
          <w:sz w:val="19"/>
          <w:szCs w:val="19"/>
          <w:u w:val="single" w:color="auto"/>
          <w:color w:val="auto"/>
        </w:rPr>
        <w:t>Payments of Accrued Obligations upon all Terminations of Employment</w:t>
      </w:r>
      <w:r>
        <w:rPr>
          <w:rFonts w:ascii="Arial" w:cs="Arial" w:eastAsia="Arial" w:hAnsi="Arial"/>
          <w:sz w:val="19"/>
          <w:szCs w:val="19"/>
          <w:color w:val="auto"/>
        </w:rPr>
        <w:t>. Upon a termination of Executive’s employment for any reason, Executive (or Executive’s estate or legal representative, as applicable) shall be entitled to receive, within thirty (30) days after Executive’s Date of Termination (or such earlier date as may be required by applicable law): (i) any portion of Executive’s Annual Base Salary earned through Executive’s Date of Termination not theretofore paid, (ii) any expenses owed to Executive under Section 3, (iii) any accrued but unused paid time-off owed to Executive, (iv) any Merit Bonus earned but unpaid as of the Date of Termination, and (v) any amount arising from Executive’s participation in, or benefits under, any employee benefit plans, programs, or arrangements under Section 3, which amounts shall be payable in accordance with the terms and conditions of such employee benefit plans, programs, or arrangements. Except as otherwise set forth in Sections 5(b) and (c), the payments and benefits described in this Section 5(a) shall be the only payments and benefits payable in the event of Executive’s termination of employment for any reason.</w:t>
      </w:r>
    </w:p>
    <w:p>
      <w:pPr>
        <w:spacing w:after="0" w:line="159" w:lineRule="exact"/>
        <w:rPr>
          <w:rFonts w:ascii="Arial" w:cs="Arial" w:eastAsia="Arial" w:hAnsi="Arial"/>
          <w:sz w:val="19"/>
          <w:szCs w:val="19"/>
          <w:b w:val="1"/>
          <w:bCs w:val="1"/>
          <w:color w:val="auto"/>
        </w:rPr>
      </w:pPr>
    </w:p>
    <w:p>
      <w:pPr>
        <w:jc w:val="both"/>
        <w:ind w:firstLine="1304"/>
        <w:spacing w:after="0" w:line="261" w:lineRule="auto"/>
        <w:tabs>
          <w:tab w:leader="none" w:pos="1938" w:val="left"/>
        </w:tabs>
        <w:numPr>
          <w:ilvl w:val="1"/>
          <w:numId w:val="21"/>
        </w:numPr>
        <w:rPr>
          <w:rFonts w:ascii="Arial" w:cs="Arial" w:eastAsia="Arial" w:hAnsi="Arial"/>
          <w:sz w:val="21"/>
          <w:szCs w:val="21"/>
          <w:b w:val="1"/>
          <w:bCs w:val="1"/>
          <w:color w:val="auto"/>
        </w:rPr>
      </w:pPr>
      <w:r>
        <w:rPr>
          <w:rFonts w:ascii="Arial" w:cs="Arial" w:eastAsia="Arial" w:hAnsi="Arial"/>
          <w:sz w:val="21"/>
          <w:szCs w:val="21"/>
          <w:u w:val="single" w:color="auto"/>
          <w:color w:val="auto"/>
        </w:rPr>
        <w:t>Severance Payments upon Covered Termination Outside a Change of Control Period</w:t>
      </w:r>
      <w:r>
        <w:rPr>
          <w:rFonts w:ascii="Arial" w:cs="Arial" w:eastAsia="Arial" w:hAnsi="Arial"/>
          <w:sz w:val="21"/>
          <w:szCs w:val="21"/>
          <w:color w:val="auto"/>
        </w:rPr>
        <w:t xml:space="preserve">. If, during the Term, Executive experiences a Covered Termination outside of a Change of Control Period (each as defined below), then in addition to the payments and benefits described in Section 5(a), the Company shall, subject to Executive’s delivery to the Company of a waiver and release of claims agreement substantially in the form of </w:t>
      </w:r>
      <w:r>
        <w:rPr>
          <w:rFonts w:ascii="Arial" w:cs="Arial" w:eastAsia="Arial" w:hAnsi="Arial"/>
          <w:sz w:val="21"/>
          <w:szCs w:val="21"/>
          <w:u w:val="single" w:color="auto"/>
          <w:color w:val="auto"/>
        </w:rPr>
        <w:t>Exhibit B</w:t>
      </w:r>
      <w:r>
        <w:rPr>
          <w:rFonts w:ascii="Arial" w:cs="Arial" w:eastAsia="Arial" w:hAnsi="Arial"/>
          <w:sz w:val="21"/>
          <w:szCs w:val="21"/>
          <w:color w:val="auto"/>
        </w:rPr>
        <w:t xml:space="preserve"> hereto (but updated to the extent deemed by the Company to be necessary to reflect any changes in applicable law) (the “</w:t>
      </w:r>
      <w:r>
        <w:rPr>
          <w:rFonts w:ascii="Arial" w:cs="Arial" w:eastAsia="Arial" w:hAnsi="Arial"/>
          <w:sz w:val="21"/>
          <w:szCs w:val="21"/>
          <w:b w:val="1"/>
          <w:bCs w:val="1"/>
          <w:i w:val="1"/>
          <w:iCs w:val="1"/>
          <w:color w:val="auto"/>
        </w:rPr>
        <w:t>Release</w:t>
      </w:r>
      <w:r>
        <w:rPr>
          <w:rFonts w:ascii="Arial" w:cs="Arial" w:eastAsia="Arial" w:hAnsi="Arial"/>
          <w:sz w:val="21"/>
          <w:szCs w:val="21"/>
          <w:color w:val="auto"/>
        </w:rPr>
        <w:t>”) that becomes effective and irrevocable in accordance with Section 9(d), provide Executive with the following:</w:t>
      </w:r>
    </w:p>
    <w:p>
      <w:pPr>
        <w:spacing w:after="0" w:line="179" w:lineRule="exact"/>
        <w:rPr>
          <w:rFonts w:ascii="Arial" w:cs="Arial" w:eastAsia="Arial" w:hAnsi="Arial"/>
          <w:sz w:val="21"/>
          <w:szCs w:val="21"/>
          <w:b w:val="1"/>
          <w:bCs w:val="1"/>
          <w:color w:val="auto"/>
        </w:rPr>
      </w:pPr>
    </w:p>
    <w:p>
      <w:pPr>
        <w:jc w:val="both"/>
        <w:ind w:left="660" w:firstLine="1292"/>
        <w:spacing w:after="0" w:line="250" w:lineRule="auto"/>
        <w:tabs>
          <w:tab w:leader="none" w:pos="2592" w:val="left"/>
        </w:tabs>
        <w:numPr>
          <w:ilvl w:val="2"/>
          <w:numId w:val="21"/>
        </w:numPr>
        <w:rPr>
          <w:rFonts w:ascii="Arial" w:cs="Arial" w:eastAsia="Arial" w:hAnsi="Arial"/>
          <w:sz w:val="22"/>
          <w:szCs w:val="22"/>
          <w:b w:val="1"/>
          <w:bCs w:val="1"/>
          <w:color w:val="auto"/>
        </w:rPr>
      </w:pPr>
      <w:r>
        <w:rPr>
          <w:rFonts w:ascii="Arial" w:cs="Arial" w:eastAsia="Arial" w:hAnsi="Arial"/>
          <w:sz w:val="22"/>
          <w:szCs w:val="22"/>
          <w:color w:val="auto"/>
        </w:rPr>
        <w:t>The Company shall pay to Executive an amount equal to 0.5 multiplied by Executive’s Annual Base Salary. Such amount will be subject to applicable withholdings and payable in a single lump sum cash payment on the first regular payroll date following the date the Release becomes effective and irrevocable in accordance with Section 9(d).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ectPr>
          <w:pgSz w:w="11900" w:h="16838" w:orient="portrait"/>
          <w:cols w:equalWidth="0" w:num="1">
            <w:col w:w="11240"/>
          </w:cols>
          <w:pgMar w:left="320" w:top="1440" w:right="339" w:bottom="1440" w:gutter="0" w:footer="0" w:header="0"/>
        </w:sectPr>
      </w:pPr>
    </w:p>
    <w:bookmarkStart w:id="54" w:name="page55"/>
    <w:bookmarkEnd w:id="54"/>
    <w:p>
      <w:pPr>
        <w:spacing w:after="0" w:line="204" w:lineRule="exact"/>
        <w:rPr>
          <w:sz w:val="20"/>
          <w:szCs w:val="20"/>
          <w:color w:val="auto"/>
        </w:rPr>
      </w:pPr>
    </w:p>
    <w:p>
      <w:pPr>
        <w:jc w:val="both"/>
        <w:ind w:left="660" w:firstLine="1292"/>
        <w:spacing w:after="0" w:line="286" w:lineRule="auto"/>
        <w:tabs>
          <w:tab w:leader="none" w:pos="2598" w:val="left"/>
        </w:tabs>
        <w:numPr>
          <w:ilvl w:val="1"/>
          <w:numId w:val="22"/>
        </w:numPr>
        <w:rPr>
          <w:rFonts w:ascii="Arial" w:cs="Arial" w:eastAsia="Arial" w:hAnsi="Arial"/>
          <w:sz w:val="19"/>
          <w:szCs w:val="19"/>
          <w:b w:val="1"/>
          <w:bCs w:val="1"/>
          <w:color w:val="auto"/>
        </w:rPr>
      </w:pPr>
      <w:r>
        <w:rPr>
          <w:rFonts w:ascii="Arial" w:cs="Arial" w:eastAsia="Arial" w:hAnsi="Arial"/>
          <w:sz w:val="19"/>
          <w:szCs w:val="19"/>
          <w:color w:val="auto"/>
        </w:rPr>
        <w:t>During the period commencing on the Date of Termination and ending on the six-month anniversary thereof or, if earlier, the date on which Executive becomes eligible for comparable replacement coverage under a subsequent employer’s group health plan (in any case, the “</w:t>
      </w:r>
      <w:r>
        <w:rPr>
          <w:rFonts w:ascii="Arial" w:cs="Arial" w:eastAsia="Arial" w:hAnsi="Arial"/>
          <w:sz w:val="19"/>
          <w:szCs w:val="19"/>
          <w:b w:val="1"/>
          <w:bCs w:val="1"/>
          <w:i w:val="1"/>
          <w:iCs w:val="1"/>
          <w:color w:val="auto"/>
        </w:rPr>
        <w:t>Non-CIC COBRA Period</w:t>
      </w:r>
      <w:r>
        <w:rPr>
          <w:rFonts w:ascii="Arial" w:cs="Arial" w:eastAsia="Arial" w:hAnsi="Arial"/>
          <w:sz w:val="19"/>
          <w:szCs w:val="19"/>
          <w:color w:val="auto"/>
        </w:rPr>
        <w:t>”), subject to Executive’s valid election to continue healthcare coverage under Section 4980B of the Internal Revenue Code of 1986, as amended (the “</w:t>
      </w:r>
      <w:r>
        <w:rPr>
          <w:rFonts w:ascii="Arial" w:cs="Arial" w:eastAsia="Arial" w:hAnsi="Arial"/>
          <w:sz w:val="19"/>
          <w:szCs w:val="19"/>
          <w:b w:val="1"/>
          <w:bCs w:val="1"/>
          <w:i w:val="1"/>
          <w:iCs w:val="1"/>
          <w:color w:val="auto"/>
        </w:rPr>
        <w:t>Code</w:t>
      </w:r>
      <w:r>
        <w:rPr>
          <w:rFonts w:ascii="Arial" w:cs="Arial" w:eastAsia="Arial" w:hAnsi="Arial"/>
          <w:sz w:val="19"/>
          <w:szCs w:val="19"/>
          <w:color w:val="auto"/>
        </w:rPr>
        <w:t xml:space="preserve">”) and the regulations thereunder, the Company shall, in its sole discretion, either (A) continue to provide to Executive and Executive’s dependents, at the Company’s sole expense, or (B) reimburse Executive and Executive’s dependents for coverage under its group health plan (if any) at the same levels in effect on the Date of Termination; </w:t>
      </w:r>
      <w:r>
        <w:rPr>
          <w:rFonts w:ascii="Arial" w:cs="Arial" w:eastAsia="Arial" w:hAnsi="Arial"/>
          <w:sz w:val="19"/>
          <w:szCs w:val="19"/>
          <w:i w:val="1"/>
          <w:iCs w:val="1"/>
          <w:color w:val="auto"/>
        </w:rPr>
        <w:t>provided, however</w:t>
      </w:r>
      <w:r>
        <w:rPr>
          <w:rFonts w:ascii="Arial" w:cs="Arial" w:eastAsia="Arial" w:hAnsi="Arial"/>
          <w:sz w:val="19"/>
          <w:szCs w:val="19"/>
          <w:color w:val="auto"/>
        </w:rPr>
        <w:t>, that if (1) any plan pursuant to which such benefits are provided is not, or ceases prior to the</w:t>
      </w:r>
      <w:r>
        <w:rPr>
          <w:rFonts w:ascii="Arial" w:cs="Arial" w:eastAsia="Arial" w:hAnsi="Arial"/>
          <w:sz w:val="19"/>
          <w:szCs w:val="19"/>
          <w:i w:val="1"/>
          <w:iCs w:val="1"/>
          <w:color w:val="auto"/>
        </w:rPr>
        <w:t xml:space="preserve"> </w:t>
      </w:r>
      <w:r>
        <w:rPr>
          <w:rFonts w:ascii="Arial" w:cs="Arial" w:eastAsia="Arial" w:hAnsi="Arial"/>
          <w:sz w:val="19"/>
          <w:szCs w:val="19"/>
          <w:color w:val="auto"/>
        </w:rPr>
        <w:t>expiration of the continuation coverage period to be, exempt from the application of Section 409A under Treasury Regulation Section 1.409A1(a)(5), (2) the Company is otherwise unable to continue to cover Executive or Executive’s dependents under its group health plans, or (3) the Company cannot provide the benefit without violating applicable law (including, without limitation, Section 2716 of the Public Health Service Act), then, in any such case, an amount equal to each remaining Company subsidy shall thereafter be paid to Executive in substantially equal monthly installments over the Non-CIC COBRA Period (or remaining portion thereof).</w:t>
      </w:r>
    </w:p>
    <w:p>
      <w:pPr>
        <w:spacing w:after="0" w:line="200" w:lineRule="exact"/>
        <w:rPr>
          <w:rFonts w:ascii="Arial" w:cs="Arial" w:eastAsia="Arial" w:hAnsi="Arial"/>
          <w:sz w:val="19"/>
          <w:szCs w:val="19"/>
          <w:b w:val="1"/>
          <w:bCs w:val="1"/>
          <w:color w:val="auto"/>
        </w:rPr>
      </w:pPr>
    </w:p>
    <w:p>
      <w:pPr>
        <w:spacing w:after="0" w:line="222" w:lineRule="exact"/>
        <w:rPr>
          <w:rFonts w:ascii="Arial" w:cs="Arial" w:eastAsia="Arial" w:hAnsi="Arial"/>
          <w:sz w:val="19"/>
          <w:szCs w:val="19"/>
          <w:b w:val="1"/>
          <w:bCs w:val="1"/>
          <w:color w:val="auto"/>
        </w:rPr>
      </w:pPr>
    </w:p>
    <w:p>
      <w:pPr>
        <w:jc w:val="both"/>
        <w:ind w:firstLine="1304"/>
        <w:spacing w:after="0" w:line="302" w:lineRule="auto"/>
        <w:tabs>
          <w:tab w:leader="none" w:pos="1941" w:val="left"/>
        </w:tabs>
        <w:numPr>
          <w:ilvl w:val="0"/>
          <w:numId w:val="23"/>
        </w:numPr>
        <w:rPr>
          <w:rFonts w:ascii="Arial" w:cs="Arial" w:eastAsia="Arial" w:hAnsi="Arial"/>
          <w:sz w:val="19"/>
          <w:szCs w:val="19"/>
          <w:b w:val="1"/>
          <w:bCs w:val="1"/>
          <w:color w:val="auto"/>
        </w:rPr>
      </w:pPr>
      <w:r>
        <w:rPr>
          <w:rFonts w:ascii="Arial" w:cs="Arial" w:eastAsia="Arial" w:hAnsi="Arial"/>
          <w:sz w:val="19"/>
          <w:szCs w:val="19"/>
          <w:u w:val="single" w:color="auto"/>
          <w:color w:val="auto"/>
        </w:rPr>
        <w:t>Severance Payments upon Covered Termination During a Change of Control Period</w:t>
      </w:r>
      <w:r>
        <w:rPr>
          <w:rFonts w:ascii="Arial" w:cs="Arial" w:eastAsia="Arial" w:hAnsi="Arial"/>
          <w:sz w:val="19"/>
          <w:szCs w:val="19"/>
          <w:color w:val="auto"/>
        </w:rPr>
        <w:t>. If, during the Term, Executive experiences a Covered Termination during a Change of Control Period, then, in addition to the payments and benefits described in Section 5(a), the Company shall, subject to Executive’s delivery to the Company of the Release that becomes effective and irrevocable in accordance with Section 9(d), provide Executive with the following:</w:t>
      </w:r>
    </w:p>
    <w:p>
      <w:pPr>
        <w:spacing w:after="0" w:line="142" w:lineRule="exact"/>
        <w:rPr>
          <w:rFonts w:ascii="Arial" w:cs="Arial" w:eastAsia="Arial" w:hAnsi="Arial"/>
          <w:sz w:val="19"/>
          <w:szCs w:val="19"/>
          <w:b w:val="1"/>
          <w:bCs w:val="1"/>
          <w:color w:val="auto"/>
        </w:rPr>
      </w:pPr>
    </w:p>
    <w:p>
      <w:pPr>
        <w:jc w:val="both"/>
        <w:ind w:left="660" w:firstLine="1292"/>
        <w:spacing w:after="0" w:line="312" w:lineRule="auto"/>
        <w:tabs>
          <w:tab w:leader="none" w:pos="2592" w:val="left"/>
        </w:tabs>
        <w:numPr>
          <w:ilvl w:val="1"/>
          <w:numId w:val="23"/>
        </w:numPr>
        <w:rPr>
          <w:rFonts w:ascii="Arial" w:cs="Arial" w:eastAsia="Arial" w:hAnsi="Arial"/>
          <w:sz w:val="19"/>
          <w:szCs w:val="19"/>
          <w:b w:val="1"/>
          <w:bCs w:val="1"/>
          <w:color w:val="auto"/>
        </w:rPr>
      </w:pPr>
      <w:r>
        <w:rPr>
          <w:rFonts w:ascii="Arial" w:cs="Arial" w:eastAsia="Arial" w:hAnsi="Arial"/>
          <w:sz w:val="19"/>
          <w:szCs w:val="19"/>
          <w:color w:val="auto"/>
        </w:rPr>
        <w:t>The Company shall pay to Executive an amount equal to Executive’s Annual Base Salary. Such amount will be subject to applicable withholdings and payable in a single lump sum cash payment on the first regular payroll date following the date the Release becomes effective and irrevocable in accordance with Section 9(d).</w:t>
      </w:r>
    </w:p>
    <w:p>
      <w:pPr>
        <w:spacing w:after="0" w:line="133" w:lineRule="exact"/>
        <w:rPr>
          <w:sz w:val="20"/>
          <w:szCs w:val="20"/>
          <w:color w:val="auto"/>
        </w:rPr>
      </w:pPr>
    </w:p>
    <w:p>
      <w:pPr>
        <w:jc w:val="both"/>
        <w:ind w:left="660" w:firstLine="1292"/>
        <w:spacing w:after="0" w:line="288" w:lineRule="auto"/>
        <w:tabs>
          <w:tab w:leader="none" w:pos="2598" w:val="left"/>
        </w:tabs>
        <w:numPr>
          <w:ilvl w:val="0"/>
          <w:numId w:val="24"/>
        </w:numPr>
        <w:rPr>
          <w:rFonts w:ascii="Arial" w:cs="Arial" w:eastAsia="Arial" w:hAnsi="Arial"/>
          <w:sz w:val="19"/>
          <w:szCs w:val="19"/>
          <w:b w:val="1"/>
          <w:bCs w:val="1"/>
          <w:color w:val="auto"/>
        </w:rPr>
      </w:pPr>
      <w:r>
        <w:rPr>
          <w:rFonts w:ascii="Arial" w:cs="Arial" w:eastAsia="Arial" w:hAnsi="Arial"/>
          <w:sz w:val="19"/>
          <w:szCs w:val="19"/>
          <w:color w:val="auto"/>
        </w:rPr>
        <w:t>During the period commencing on the Date of Termination and ending on the twelve-month anniversary thereof or, if earlier, the date on which Executive becomes eligible for comparable replacement coverage under a subsequent employer’s group health plan (in any case, the “</w:t>
      </w:r>
      <w:r>
        <w:rPr>
          <w:rFonts w:ascii="Arial" w:cs="Arial" w:eastAsia="Arial" w:hAnsi="Arial"/>
          <w:sz w:val="19"/>
          <w:szCs w:val="19"/>
          <w:b w:val="1"/>
          <w:bCs w:val="1"/>
          <w:i w:val="1"/>
          <w:iCs w:val="1"/>
          <w:color w:val="auto"/>
        </w:rPr>
        <w:t>CIC COBRA Period</w:t>
      </w:r>
      <w:r>
        <w:rPr>
          <w:rFonts w:ascii="Arial" w:cs="Arial" w:eastAsia="Arial" w:hAnsi="Arial"/>
          <w:sz w:val="19"/>
          <w:szCs w:val="19"/>
          <w:color w:val="auto"/>
        </w:rPr>
        <w:t xml:space="preserve">”), subject to Executive’s valid election to continue healthcare coverage under Section 4980B of the Code and the regulations thereunder, the Company shall, in its sole discretion, either (A) continue to provide to Executive and Executive’s dependents, at the Company’s sole expense, or (B) reimburse Executive and Executive’s dependents for coverage under its group health plan (if any) at the same levels in effect on the Date of Termination; </w:t>
      </w:r>
      <w:r>
        <w:rPr>
          <w:rFonts w:ascii="Arial" w:cs="Arial" w:eastAsia="Arial" w:hAnsi="Arial"/>
          <w:sz w:val="19"/>
          <w:szCs w:val="19"/>
          <w:i w:val="1"/>
          <w:iCs w:val="1"/>
          <w:color w:val="auto"/>
        </w:rPr>
        <w:t>provided, however</w:t>
      </w:r>
      <w:r>
        <w:rPr>
          <w:rFonts w:ascii="Arial" w:cs="Arial" w:eastAsia="Arial" w:hAnsi="Arial"/>
          <w:sz w:val="19"/>
          <w:szCs w:val="19"/>
          <w:color w:val="auto"/>
        </w:rPr>
        <w:t>, that if (1) any plan pursuant to which such benefits are provided is not, or ceases prior to the expiration of the continuation coverage period to be, exempt from the application of Section 409A under Treasury Regulation Section 1.409A-1(a)(5), (2) the Company is otherwise unable to continue to cover Executive or Executive’s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ectPr>
          <w:pgSz w:w="11900" w:h="16838" w:orient="portrait"/>
          <w:cols w:equalWidth="0" w:num="1">
            <w:col w:w="11240"/>
          </w:cols>
          <w:pgMar w:left="320" w:top="1440" w:right="339" w:bottom="1440" w:gutter="0" w:footer="0" w:header="0"/>
        </w:sectPr>
      </w:pPr>
    </w:p>
    <w:bookmarkStart w:id="55" w:name="page56"/>
    <w:bookmarkEnd w:id="55"/>
    <w:p>
      <w:pPr>
        <w:spacing w:after="0" w:line="204" w:lineRule="exact"/>
        <w:rPr>
          <w:sz w:val="20"/>
          <w:szCs w:val="20"/>
          <w:color w:val="auto"/>
        </w:rPr>
      </w:pPr>
    </w:p>
    <w:p>
      <w:pPr>
        <w:jc w:val="both"/>
        <w:ind w:left="660"/>
        <w:spacing w:after="0" w:line="250" w:lineRule="auto"/>
        <w:rPr>
          <w:sz w:val="20"/>
          <w:szCs w:val="20"/>
          <w:color w:val="auto"/>
        </w:rPr>
      </w:pPr>
      <w:r>
        <w:rPr>
          <w:rFonts w:ascii="Arial" w:cs="Arial" w:eastAsia="Arial" w:hAnsi="Arial"/>
          <w:sz w:val="22"/>
          <w:szCs w:val="22"/>
          <w:color w:val="auto"/>
        </w:rPr>
        <w:t>dependents under its group health plans, or (3) the Company cannot provide the benefit without violating applicable law (including, without limitation, Section 2716 of the Public Health Service Act), then, in any such case, an amount equal to each remaining Company subsidy shall thereafter be paid to Executive in substantially equal monthly installments over the CIC COBRA Period (or remaining portion thereof).</w:t>
      </w:r>
    </w:p>
    <w:p>
      <w:pPr>
        <w:spacing w:after="0" w:line="188" w:lineRule="exact"/>
        <w:rPr>
          <w:sz w:val="20"/>
          <w:szCs w:val="20"/>
          <w:color w:val="auto"/>
        </w:rPr>
      </w:pPr>
    </w:p>
    <w:p>
      <w:pPr>
        <w:jc w:val="both"/>
        <w:ind w:left="660" w:firstLine="1292"/>
        <w:spacing w:after="0" w:line="265" w:lineRule="auto"/>
        <w:tabs>
          <w:tab w:leader="none" w:pos="2604" w:val="left"/>
        </w:tabs>
        <w:numPr>
          <w:ilvl w:val="3"/>
          <w:numId w:val="25"/>
        </w:numPr>
        <w:rPr>
          <w:rFonts w:ascii="Arial" w:cs="Arial" w:eastAsia="Arial" w:hAnsi="Arial"/>
          <w:sz w:val="21"/>
          <w:szCs w:val="21"/>
          <w:b w:val="1"/>
          <w:bCs w:val="1"/>
          <w:color w:val="auto"/>
        </w:rPr>
      </w:pPr>
      <w:r>
        <w:rPr>
          <w:rFonts w:ascii="Arial" w:cs="Arial" w:eastAsia="Arial" w:hAnsi="Arial"/>
          <w:sz w:val="21"/>
          <w:szCs w:val="21"/>
          <w:color w:val="auto"/>
        </w:rPr>
        <w:t>Cause any unvested equity awards, including any stock options, restricted stock awards and any such awards subject to performance-based vesting, held by Executive as of the Date of Termination, to become fully vested and, if applicable, exercisable, and cause all restrictions and rights of repurchase on such awards to lapse with respect to all of the shares of the Company’s Common Stock subject thereto.</w:t>
      </w:r>
    </w:p>
    <w:p>
      <w:pPr>
        <w:spacing w:after="0" w:line="175" w:lineRule="exact"/>
        <w:rPr>
          <w:rFonts w:ascii="Arial" w:cs="Arial" w:eastAsia="Arial" w:hAnsi="Arial"/>
          <w:sz w:val="21"/>
          <w:szCs w:val="21"/>
          <w:b w:val="1"/>
          <w:bCs w:val="1"/>
          <w:color w:val="auto"/>
        </w:rPr>
      </w:pPr>
    </w:p>
    <w:p>
      <w:pPr>
        <w:jc w:val="both"/>
        <w:ind w:firstLine="1304"/>
        <w:spacing w:after="0" w:line="253" w:lineRule="auto"/>
        <w:tabs>
          <w:tab w:leader="none" w:pos="1938" w:val="left"/>
        </w:tabs>
        <w:numPr>
          <w:ilvl w:val="2"/>
          <w:numId w:val="26"/>
        </w:numPr>
        <w:rPr>
          <w:rFonts w:ascii="Arial" w:cs="Arial" w:eastAsia="Arial" w:hAnsi="Arial"/>
          <w:sz w:val="22"/>
          <w:szCs w:val="22"/>
          <w:b w:val="1"/>
          <w:bCs w:val="1"/>
          <w:color w:val="auto"/>
        </w:rPr>
      </w:pPr>
      <w:r>
        <w:rPr>
          <w:rFonts w:ascii="Arial" w:cs="Arial" w:eastAsia="Arial" w:hAnsi="Arial"/>
          <w:sz w:val="22"/>
          <w:szCs w:val="22"/>
          <w:u w:val="single" w:color="auto"/>
          <w:color w:val="auto"/>
        </w:rPr>
        <w:t>No Other Severance</w:t>
      </w:r>
      <w:r>
        <w:rPr>
          <w:rFonts w:ascii="Arial" w:cs="Arial" w:eastAsia="Arial" w:hAnsi="Arial"/>
          <w:sz w:val="22"/>
          <w:szCs w:val="22"/>
          <w:color w:val="auto"/>
        </w:rPr>
        <w:t>. Except as otherwise approved by the Board, the provisions of this Section 5 shall supersede in their entirety any severance payment provisions in any severance plan, policy, program, or other arrangement maintained by the Company.</w:t>
      </w:r>
    </w:p>
    <w:p>
      <w:pPr>
        <w:spacing w:after="0" w:line="185" w:lineRule="exact"/>
        <w:rPr>
          <w:rFonts w:ascii="Arial" w:cs="Arial" w:eastAsia="Arial" w:hAnsi="Arial"/>
          <w:sz w:val="22"/>
          <w:szCs w:val="22"/>
          <w:b w:val="1"/>
          <w:bCs w:val="1"/>
          <w:color w:val="auto"/>
        </w:rPr>
      </w:pPr>
    </w:p>
    <w:p>
      <w:pPr>
        <w:jc w:val="both"/>
        <w:ind w:firstLine="1304"/>
        <w:spacing w:after="0" w:line="312" w:lineRule="auto"/>
        <w:tabs>
          <w:tab w:leader="none" w:pos="1941" w:val="left"/>
        </w:tabs>
        <w:numPr>
          <w:ilvl w:val="2"/>
          <w:numId w:val="26"/>
        </w:numPr>
        <w:rPr>
          <w:rFonts w:ascii="Arial" w:cs="Arial" w:eastAsia="Arial" w:hAnsi="Arial"/>
          <w:sz w:val="19"/>
          <w:szCs w:val="19"/>
          <w:b w:val="1"/>
          <w:bCs w:val="1"/>
          <w:color w:val="auto"/>
        </w:rPr>
      </w:pPr>
      <w:r>
        <w:rPr>
          <w:rFonts w:ascii="Arial" w:cs="Arial" w:eastAsia="Arial" w:hAnsi="Arial"/>
          <w:sz w:val="19"/>
          <w:szCs w:val="19"/>
          <w:u w:val="single" w:color="auto"/>
          <w:color w:val="auto"/>
        </w:rPr>
        <w:t>No Requirement to Mitigate; Survival</w:t>
      </w:r>
      <w:r>
        <w:rPr>
          <w:rFonts w:ascii="Arial" w:cs="Arial" w:eastAsia="Arial" w:hAnsi="Arial"/>
          <w:sz w:val="19"/>
          <w:szCs w:val="19"/>
          <w:color w:val="auto"/>
        </w:rPr>
        <w:t>. Executive shall not be required to mitigate the amount of any payment provided for under this Agreement by seeking other employment or in any other manner. Notwithstanding anything to the contrary in this Agreement, the termination of Executive’s employment shall not impair the rights or obligations of any Party.</w:t>
      </w:r>
    </w:p>
    <w:p>
      <w:pPr>
        <w:spacing w:after="0" w:line="133" w:lineRule="exact"/>
        <w:rPr>
          <w:rFonts w:ascii="Arial" w:cs="Arial" w:eastAsia="Arial" w:hAnsi="Arial"/>
          <w:sz w:val="19"/>
          <w:szCs w:val="19"/>
          <w:b w:val="1"/>
          <w:bCs w:val="1"/>
          <w:color w:val="auto"/>
        </w:rPr>
      </w:pPr>
    </w:p>
    <w:p>
      <w:pPr>
        <w:jc w:val="both"/>
        <w:ind w:firstLine="1304"/>
        <w:spacing w:after="0" w:line="292" w:lineRule="auto"/>
        <w:tabs>
          <w:tab w:leader="none" w:pos="1944" w:val="left"/>
        </w:tabs>
        <w:numPr>
          <w:ilvl w:val="2"/>
          <w:numId w:val="26"/>
        </w:numPr>
        <w:rPr>
          <w:rFonts w:ascii="Arial" w:cs="Arial" w:eastAsia="Arial" w:hAnsi="Arial"/>
          <w:sz w:val="19"/>
          <w:szCs w:val="19"/>
          <w:b w:val="1"/>
          <w:bCs w:val="1"/>
          <w:color w:val="auto"/>
        </w:rPr>
      </w:pPr>
      <w:r>
        <w:rPr>
          <w:rFonts w:ascii="Arial" w:cs="Arial" w:eastAsia="Arial" w:hAnsi="Arial"/>
          <w:sz w:val="19"/>
          <w:szCs w:val="19"/>
          <w:u w:val="single" w:color="auto"/>
          <w:color w:val="auto"/>
        </w:rPr>
        <w:t>Definition of Cause</w:t>
      </w:r>
      <w:r>
        <w:rPr>
          <w:rFonts w:ascii="Arial" w:cs="Arial" w:eastAsia="Arial" w:hAnsi="Arial"/>
          <w:sz w:val="19"/>
          <w:szCs w:val="19"/>
          <w:color w:val="auto"/>
        </w:rPr>
        <w:t>. For purposes hereof, “</w:t>
      </w:r>
      <w:r>
        <w:rPr>
          <w:rFonts w:ascii="Arial" w:cs="Arial" w:eastAsia="Arial" w:hAnsi="Arial"/>
          <w:sz w:val="19"/>
          <w:szCs w:val="19"/>
          <w:b w:val="1"/>
          <w:bCs w:val="1"/>
          <w:i w:val="1"/>
          <w:iCs w:val="1"/>
          <w:color w:val="auto"/>
        </w:rPr>
        <w:t>Cause</w:t>
      </w:r>
      <w:r>
        <w:rPr>
          <w:rFonts w:ascii="Arial" w:cs="Arial" w:eastAsia="Arial" w:hAnsi="Arial"/>
          <w:sz w:val="19"/>
          <w:szCs w:val="19"/>
          <w:color w:val="auto"/>
        </w:rPr>
        <w:t>” shall mean any one of the following: (i) Executive’s willful and continued failure to substantially perform Executive’s duties with the Company (other than any such failure resulting from Executive’s incapacity due to physical or mental illness), after a written demand for substantial performance is delivered to you by the CEO or Board, (ii) Executive’s willful and continued failure to substantially follow and comply with such specific and lawful directives of the CEO or Board, after a written demand for substantial performance is delivered to Executive by the Company, (iii) Executive’s commission of an act of fraud or material dishonesty, or (iv) Executive’s conviction of, or entry by Executive of a guilty or no contest plea to, the commission of a felony or any other crime involving moral turpitude.</w:t>
      </w:r>
    </w:p>
    <w:p>
      <w:pPr>
        <w:spacing w:after="0" w:line="150" w:lineRule="exact"/>
        <w:rPr>
          <w:rFonts w:ascii="Arial" w:cs="Arial" w:eastAsia="Arial" w:hAnsi="Arial"/>
          <w:sz w:val="19"/>
          <w:szCs w:val="19"/>
          <w:b w:val="1"/>
          <w:bCs w:val="1"/>
          <w:color w:val="auto"/>
        </w:rPr>
      </w:pPr>
    </w:p>
    <w:p>
      <w:pPr>
        <w:ind w:firstLine="1304"/>
        <w:spacing w:after="0" w:line="343" w:lineRule="auto"/>
        <w:tabs>
          <w:tab w:leader="none" w:pos="1939" w:val="left"/>
        </w:tabs>
        <w:numPr>
          <w:ilvl w:val="2"/>
          <w:numId w:val="26"/>
        </w:numPr>
        <w:rPr>
          <w:rFonts w:ascii="Arial" w:cs="Arial" w:eastAsia="Arial" w:hAnsi="Arial"/>
          <w:sz w:val="19"/>
          <w:szCs w:val="19"/>
          <w:b w:val="1"/>
          <w:bCs w:val="1"/>
          <w:color w:val="auto"/>
        </w:rPr>
      </w:pPr>
      <w:r>
        <w:rPr>
          <w:rFonts w:ascii="Arial" w:cs="Arial" w:eastAsia="Arial" w:hAnsi="Arial"/>
          <w:sz w:val="19"/>
          <w:szCs w:val="19"/>
          <w:u w:val="single" w:color="auto"/>
          <w:color w:val="auto"/>
        </w:rPr>
        <w:t>Definition of Change of Control Period</w:t>
      </w:r>
      <w:r>
        <w:rPr>
          <w:rFonts w:ascii="Arial" w:cs="Arial" w:eastAsia="Arial" w:hAnsi="Arial"/>
          <w:sz w:val="19"/>
          <w:szCs w:val="19"/>
          <w:color w:val="auto"/>
        </w:rPr>
        <w:t>. For purposes hereof, “</w:t>
      </w:r>
      <w:r>
        <w:rPr>
          <w:rFonts w:ascii="Arial" w:cs="Arial" w:eastAsia="Arial" w:hAnsi="Arial"/>
          <w:sz w:val="19"/>
          <w:szCs w:val="19"/>
          <w:b w:val="1"/>
          <w:bCs w:val="1"/>
          <w:i w:val="1"/>
          <w:iCs w:val="1"/>
          <w:color w:val="auto"/>
        </w:rPr>
        <w:t>Change of Control Period</w:t>
      </w:r>
      <w:r>
        <w:rPr>
          <w:rFonts w:ascii="Arial" w:cs="Arial" w:eastAsia="Arial" w:hAnsi="Arial"/>
          <w:sz w:val="19"/>
          <w:szCs w:val="19"/>
          <w:color w:val="auto"/>
        </w:rPr>
        <w:t>” shall mean the period commencing ninety days prior to a Change of Control and ending 12 months after such Change of Control.</w:t>
      </w:r>
    </w:p>
    <w:p>
      <w:pPr>
        <w:spacing w:after="0" w:line="104" w:lineRule="exact"/>
        <w:rPr>
          <w:rFonts w:ascii="Arial" w:cs="Arial" w:eastAsia="Arial" w:hAnsi="Arial"/>
          <w:sz w:val="19"/>
          <w:szCs w:val="19"/>
          <w:b w:val="1"/>
          <w:bCs w:val="1"/>
          <w:color w:val="auto"/>
        </w:rPr>
      </w:pPr>
    </w:p>
    <w:p>
      <w:pPr>
        <w:jc w:val="both"/>
        <w:ind w:firstLine="1304"/>
        <w:spacing w:after="0" w:line="253" w:lineRule="auto"/>
        <w:tabs>
          <w:tab w:leader="none" w:pos="1938" w:val="left"/>
        </w:tabs>
        <w:numPr>
          <w:ilvl w:val="2"/>
          <w:numId w:val="26"/>
        </w:numPr>
        <w:rPr>
          <w:rFonts w:ascii="Arial" w:cs="Arial" w:eastAsia="Arial" w:hAnsi="Arial"/>
          <w:sz w:val="22"/>
          <w:szCs w:val="22"/>
          <w:b w:val="1"/>
          <w:bCs w:val="1"/>
          <w:color w:val="auto"/>
        </w:rPr>
      </w:pPr>
      <w:r>
        <w:rPr>
          <w:rFonts w:ascii="Arial" w:cs="Arial" w:eastAsia="Arial" w:hAnsi="Arial"/>
          <w:sz w:val="22"/>
          <w:szCs w:val="22"/>
          <w:u w:val="single" w:color="auto"/>
          <w:color w:val="auto"/>
        </w:rPr>
        <w:t>Definition of Covered Termination</w:t>
      </w:r>
      <w:r>
        <w:rPr>
          <w:rFonts w:ascii="Arial" w:cs="Arial" w:eastAsia="Arial" w:hAnsi="Arial"/>
          <w:sz w:val="22"/>
          <w:szCs w:val="22"/>
          <w:color w:val="auto"/>
        </w:rPr>
        <w:t>. For purposes hereof, “</w:t>
      </w:r>
      <w:r>
        <w:rPr>
          <w:rFonts w:ascii="Arial" w:cs="Arial" w:eastAsia="Arial" w:hAnsi="Arial"/>
          <w:sz w:val="22"/>
          <w:szCs w:val="22"/>
          <w:b w:val="1"/>
          <w:bCs w:val="1"/>
          <w:i w:val="1"/>
          <w:iCs w:val="1"/>
          <w:color w:val="auto"/>
        </w:rPr>
        <w:t>Covered Termination</w:t>
      </w:r>
      <w:r>
        <w:rPr>
          <w:rFonts w:ascii="Arial" w:cs="Arial" w:eastAsia="Arial" w:hAnsi="Arial"/>
          <w:sz w:val="22"/>
          <w:szCs w:val="22"/>
          <w:color w:val="auto"/>
        </w:rPr>
        <w:t>” shall mean the termination of Executive’s employment by the Company without Cause or by Executive for Good Reason, and shall not include a termination due to Executive’s death or disability.</w:t>
      </w:r>
    </w:p>
    <w:p>
      <w:pPr>
        <w:spacing w:after="0" w:line="185" w:lineRule="exact"/>
        <w:rPr>
          <w:rFonts w:ascii="Arial" w:cs="Arial" w:eastAsia="Arial" w:hAnsi="Arial"/>
          <w:sz w:val="22"/>
          <w:szCs w:val="22"/>
          <w:b w:val="1"/>
          <w:bCs w:val="1"/>
          <w:color w:val="auto"/>
        </w:rPr>
      </w:pPr>
    </w:p>
    <w:p>
      <w:pPr>
        <w:jc w:val="both"/>
        <w:ind w:firstLine="656"/>
        <w:spacing w:after="0" w:line="291" w:lineRule="auto"/>
        <w:tabs>
          <w:tab w:leader="none" w:pos="1284" w:val="left"/>
        </w:tabs>
        <w:numPr>
          <w:ilvl w:val="1"/>
          <w:numId w:val="27"/>
        </w:numPr>
        <w:rPr>
          <w:rFonts w:ascii="Arial" w:cs="Arial" w:eastAsia="Arial" w:hAnsi="Arial"/>
          <w:sz w:val="19"/>
          <w:szCs w:val="19"/>
          <w:b w:val="1"/>
          <w:bCs w:val="1"/>
          <w:color w:val="auto"/>
        </w:rPr>
      </w:pPr>
      <w:r>
        <w:rPr>
          <w:rFonts w:ascii="Arial" w:cs="Arial" w:eastAsia="Arial" w:hAnsi="Arial"/>
          <w:sz w:val="19"/>
          <w:szCs w:val="19"/>
          <w:u w:val="single" w:color="auto"/>
          <w:color w:val="auto"/>
        </w:rPr>
        <w:t>Definition of Good Reason</w:t>
      </w:r>
      <w:r>
        <w:rPr>
          <w:rFonts w:ascii="Arial" w:cs="Arial" w:eastAsia="Arial" w:hAnsi="Arial"/>
          <w:sz w:val="19"/>
          <w:szCs w:val="19"/>
          <w:color w:val="auto"/>
        </w:rPr>
        <w:t>. For purposes hereof, “</w:t>
      </w:r>
      <w:r>
        <w:rPr>
          <w:rFonts w:ascii="Arial" w:cs="Arial" w:eastAsia="Arial" w:hAnsi="Arial"/>
          <w:sz w:val="19"/>
          <w:szCs w:val="19"/>
          <w:b w:val="1"/>
          <w:bCs w:val="1"/>
          <w:i w:val="1"/>
          <w:iCs w:val="1"/>
          <w:color w:val="auto"/>
        </w:rPr>
        <w:t>Good Reason</w:t>
      </w:r>
      <w:r>
        <w:rPr>
          <w:rFonts w:ascii="Arial" w:cs="Arial" w:eastAsia="Arial" w:hAnsi="Arial"/>
          <w:sz w:val="19"/>
          <w:szCs w:val="19"/>
          <w:color w:val="auto"/>
        </w:rPr>
        <w:t>” means the occurrence of any of the following events or circumstances, without Executive’s prior written consent: (i) a material reduction in Executive’s On Target Earnings,</w:t>
      </w:r>
    </w:p>
    <w:p>
      <w:pPr>
        <w:spacing w:after="0" w:line="1" w:lineRule="exact"/>
        <w:rPr>
          <w:rFonts w:ascii="Arial" w:cs="Arial" w:eastAsia="Arial" w:hAnsi="Arial"/>
          <w:sz w:val="19"/>
          <w:szCs w:val="19"/>
          <w:b w:val="1"/>
          <w:bCs w:val="1"/>
          <w:color w:val="auto"/>
        </w:rPr>
      </w:pPr>
    </w:p>
    <w:p>
      <w:pPr>
        <w:ind w:left="320" w:hanging="312"/>
        <w:spacing w:after="0"/>
        <w:tabs>
          <w:tab w:leader="none" w:pos="320" w:val="left"/>
        </w:tabs>
        <w:numPr>
          <w:ilvl w:val="0"/>
          <w:numId w:val="28"/>
        </w:numPr>
        <w:rPr>
          <w:rFonts w:ascii="Arial" w:cs="Arial" w:eastAsia="Arial" w:hAnsi="Arial"/>
          <w:sz w:val="22"/>
          <w:szCs w:val="22"/>
          <w:color w:val="auto"/>
        </w:rPr>
      </w:pPr>
      <w:r>
        <w:rPr>
          <w:rFonts w:ascii="Arial" w:cs="Arial" w:eastAsia="Arial" w:hAnsi="Arial"/>
          <w:sz w:val="22"/>
          <w:szCs w:val="22"/>
          <w:color w:val="auto"/>
        </w:rPr>
        <w:t>a material diminution in Executive’s duties or responsibilities, or level of authority, (iii) a relocation of Executive’s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ectPr>
          <w:pgSz w:w="11900" w:h="16838" w:orient="portrait"/>
          <w:cols w:equalWidth="0" w:num="1">
            <w:col w:w="11240"/>
          </w:cols>
          <w:pgMar w:left="320" w:top="1440" w:right="339" w:bottom="1440" w:gutter="0" w:footer="0" w:header="0"/>
        </w:sectPr>
      </w:pPr>
    </w:p>
    <w:bookmarkStart w:id="56" w:name="page57"/>
    <w:bookmarkEnd w:id="56"/>
    <w:p>
      <w:pPr>
        <w:spacing w:after="0" w:line="204"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principal place of employment that increases Executive’s one-way commute by at least thirty-five (35) miles, (iv) material breach of this Agreement by the Company, including any failure to pay Executive any compensation or benefits to which you are entitled within fifteen (15) days of the date due, or (v) the Company’s failure to obtain an agreement from any successor to the Company to assume and agree to perform this Agreement in the same manner and to the same extent that the Company would be required to perform if no succession had taken place. Notwithstanding the foregoing, in no event shall Executive be deemed to have Good Reason unless (a) Executive provides written notice to the Company of the condition giving rise to Good Reason within ninety (90) days of its initial occurrence, (b) the Company fails to cure such condition within thirty (30) days after the Company receives Executive’s written notice of such condition and (c) Executive’s resignation is effective within sixty (60) days following the end of such cure period.</w:t>
      </w:r>
    </w:p>
    <w:p>
      <w:pPr>
        <w:spacing w:after="0" w:line="173" w:lineRule="exact"/>
        <w:rPr>
          <w:sz w:val="20"/>
          <w:szCs w:val="20"/>
          <w:color w:val="auto"/>
        </w:rPr>
      </w:pPr>
    </w:p>
    <w:p>
      <w:pPr>
        <w:jc w:val="both"/>
        <w:ind w:firstLine="656"/>
        <w:spacing w:after="0" w:line="262" w:lineRule="auto"/>
        <w:tabs>
          <w:tab w:leader="none" w:pos="1296" w:val="left"/>
        </w:tabs>
        <w:numPr>
          <w:ilvl w:val="0"/>
          <w:numId w:val="29"/>
        </w:numPr>
        <w:rPr>
          <w:rFonts w:ascii="Arial" w:cs="Arial" w:eastAsia="Arial" w:hAnsi="Arial"/>
          <w:sz w:val="21"/>
          <w:szCs w:val="21"/>
          <w:b w:val="1"/>
          <w:bCs w:val="1"/>
          <w:color w:val="auto"/>
        </w:rPr>
      </w:pPr>
      <w:r>
        <w:rPr>
          <w:rFonts w:ascii="Arial" w:cs="Arial" w:eastAsia="Arial" w:hAnsi="Arial"/>
          <w:sz w:val="21"/>
          <w:szCs w:val="21"/>
          <w:b w:val="1"/>
          <w:bCs w:val="1"/>
          <w:color w:val="auto"/>
        </w:rPr>
        <w:t>Assignment and Successors</w:t>
      </w:r>
      <w:r>
        <w:rPr>
          <w:rFonts w:ascii="Arial" w:cs="Arial" w:eastAsia="Arial" w:hAnsi="Arial"/>
          <w:sz w:val="21"/>
          <w:szCs w:val="21"/>
          <w:color w:val="auto"/>
        </w:rPr>
        <w:t>. The Company shall assign its rights and obligations under this Agreement to any</w:t>
      </w:r>
      <w:r>
        <w:rPr>
          <w:rFonts w:ascii="Arial" w:cs="Arial" w:eastAsia="Arial" w:hAnsi="Arial"/>
          <w:sz w:val="21"/>
          <w:szCs w:val="21"/>
          <w:b w:val="1"/>
          <w:bCs w:val="1"/>
          <w:color w:val="auto"/>
        </w:rPr>
        <w:t xml:space="preserve"> </w:t>
      </w:r>
      <w:r>
        <w:rPr>
          <w:rFonts w:ascii="Arial" w:cs="Arial" w:eastAsia="Arial" w:hAnsi="Arial"/>
          <w:sz w:val="21"/>
          <w:szCs w:val="21"/>
          <w:color w:val="auto"/>
        </w:rPr>
        <w:t>successor to all or substantially all of the business or the assets of the Company (by merger or otherwise). This Agreement shall be binding upon and inure to the benefit of the Company, Executive, and their respective successors, assigns, personnel, and legal representatives, executors, administrators, heirs, distributees, devisees, and legatees, as applicable. None of Executive’s rights or obligations may be assigned or transferred by Executive, other than Executive’s rights to payments hereunder, which may be transferred only by will, operation of law, or as otherwise provided herein</w:t>
      </w:r>
      <w:r>
        <w:rPr>
          <w:rFonts w:ascii="Arial" w:cs="Arial" w:eastAsia="Arial" w:hAnsi="Arial"/>
          <w:sz w:val="21"/>
          <w:szCs w:val="21"/>
          <w:b w:val="1"/>
          <w:bCs w:val="1"/>
          <w:color w:val="auto"/>
        </w:rPr>
        <w:t>.</w:t>
      </w:r>
    </w:p>
    <w:p>
      <w:pPr>
        <w:spacing w:after="0" w:line="173" w:lineRule="exact"/>
        <w:rPr>
          <w:rFonts w:ascii="Arial" w:cs="Arial" w:eastAsia="Arial" w:hAnsi="Arial"/>
          <w:sz w:val="21"/>
          <w:szCs w:val="21"/>
          <w:b w:val="1"/>
          <w:bCs w:val="1"/>
          <w:color w:val="auto"/>
        </w:rPr>
      </w:pPr>
    </w:p>
    <w:p>
      <w:pPr>
        <w:ind w:left="1300" w:hanging="644"/>
        <w:spacing w:after="0"/>
        <w:tabs>
          <w:tab w:leader="none" w:pos="1300" w:val="left"/>
        </w:tabs>
        <w:numPr>
          <w:ilvl w:val="0"/>
          <w:numId w:val="29"/>
        </w:numPr>
        <w:rPr>
          <w:rFonts w:ascii="Arial" w:cs="Arial" w:eastAsia="Arial" w:hAnsi="Arial"/>
          <w:sz w:val="22"/>
          <w:szCs w:val="22"/>
          <w:b w:val="1"/>
          <w:bCs w:val="1"/>
          <w:color w:val="auto"/>
        </w:rPr>
      </w:pPr>
      <w:r>
        <w:rPr>
          <w:rFonts w:ascii="Arial" w:cs="Arial" w:eastAsia="Arial" w:hAnsi="Arial"/>
          <w:sz w:val="22"/>
          <w:szCs w:val="22"/>
          <w:b w:val="1"/>
          <w:bCs w:val="1"/>
          <w:color w:val="auto"/>
        </w:rPr>
        <w:t>Miscellaneous Provisions</w:t>
      </w:r>
      <w:r>
        <w:rPr>
          <w:rFonts w:ascii="Arial" w:cs="Arial" w:eastAsia="Arial" w:hAnsi="Arial"/>
          <w:sz w:val="22"/>
          <w:szCs w:val="22"/>
          <w:color w:val="auto"/>
        </w:rPr>
        <w:t>.</w:t>
      </w:r>
    </w:p>
    <w:p>
      <w:pPr>
        <w:spacing w:after="0" w:line="225" w:lineRule="exact"/>
        <w:rPr>
          <w:rFonts w:ascii="Arial" w:cs="Arial" w:eastAsia="Arial" w:hAnsi="Arial"/>
          <w:sz w:val="22"/>
          <w:szCs w:val="22"/>
          <w:b w:val="1"/>
          <w:bCs w:val="1"/>
          <w:color w:val="auto"/>
        </w:rPr>
      </w:pPr>
    </w:p>
    <w:p>
      <w:pPr>
        <w:jc w:val="both"/>
        <w:ind w:firstLine="1304"/>
        <w:spacing w:after="0" w:line="250" w:lineRule="auto"/>
        <w:tabs>
          <w:tab w:leader="none" w:pos="1939" w:val="left"/>
        </w:tabs>
        <w:numPr>
          <w:ilvl w:val="1"/>
          <w:numId w:val="29"/>
        </w:numPr>
        <w:rPr>
          <w:rFonts w:ascii="Arial" w:cs="Arial" w:eastAsia="Arial" w:hAnsi="Arial"/>
          <w:sz w:val="22"/>
          <w:szCs w:val="22"/>
          <w:b w:val="1"/>
          <w:bCs w:val="1"/>
          <w:color w:val="auto"/>
        </w:rPr>
      </w:pPr>
      <w:r>
        <w:rPr>
          <w:rFonts w:ascii="Arial" w:cs="Arial" w:eastAsia="Arial" w:hAnsi="Arial"/>
          <w:sz w:val="22"/>
          <w:szCs w:val="22"/>
          <w:u w:val="single" w:color="auto"/>
          <w:color w:val="auto"/>
        </w:rPr>
        <w:t>Confidentiality Agreement</w:t>
      </w:r>
      <w:r>
        <w:rPr>
          <w:rFonts w:ascii="Arial" w:cs="Arial" w:eastAsia="Arial" w:hAnsi="Arial"/>
          <w:sz w:val="22"/>
          <w:szCs w:val="22"/>
          <w:color w:val="auto"/>
        </w:rPr>
        <w:t xml:space="preserve">. As a condition to employment hereunder, Executive shall enter into the Confidential Information and Invention Assignment Agreement with the Company attached hereto as </w:t>
      </w:r>
      <w:r>
        <w:rPr>
          <w:rFonts w:ascii="Arial" w:cs="Arial" w:eastAsia="Arial" w:hAnsi="Arial"/>
          <w:sz w:val="22"/>
          <w:szCs w:val="22"/>
          <w:u w:val="single" w:color="auto"/>
          <w:color w:val="auto"/>
        </w:rPr>
        <w:t>Exhibit C</w:t>
      </w:r>
      <w:r>
        <w:rPr>
          <w:rFonts w:ascii="Arial" w:cs="Arial" w:eastAsia="Arial" w:hAnsi="Arial"/>
          <w:sz w:val="22"/>
          <w:szCs w:val="22"/>
          <w:color w:val="auto"/>
        </w:rPr>
        <w:t xml:space="preserve"> (the “</w:t>
      </w:r>
      <w:r>
        <w:rPr>
          <w:rFonts w:ascii="Arial" w:cs="Arial" w:eastAsia="Arial" w:hAnsi="Arial"/>
          <w:sz w:val="22"/>
          <w:szCs w:val="22"/>
          <w:b w:val="1"/>
          <w:bCs w:val="1"/>
          <w:i w:val="1"/>
          <w:iCs w:val="1"/>
          <w:color w:val="auto"/>
        </w:rPr>
        <w:t>Confidentiality Agreement</w:t>
      </w:r>
      <w:r>
        <w:rPr>
          <w:rFonts w:ascii="Arial" w:cs="Arial" w:eastAsia="Arial" w:hAnsi="Arial"/>
          <w:sz w:val="22"/>
          <w:szCs w:val="22"/>
          <w:color w:val="auto"/>
        </w:rPr>
        <w:t>”). The Confidentiality Agreement shall survive the termination of this Agreement and Executive’s employment with the Company for the applicable period(s) set forth therein.</w:t>
      </w:r>
    </w:p>
    <w:p>
      <w:pPr>
        <w:spacing w:after="0" w:line="187" w:lineRule="exact"/>
        <w:rPr>
          <w:rFonts w:ascii="Arial" w:cs="Arial" w:eastAsia="Arial" w:hAnsi="Arial"/>
          <w:sz w:val="22"/>
          <w:szCs w:val="22"/>
          <w:b w:val="1"/>
          <w:bCs w:val="1"/>
          <w:color w:val="auto"/>
        </w:rPr>
      </w:pPr>
    </w:p>
    <w:p>
      <w:pPr>
        <w:jc w:val="both"/>
        <w:ind w:firstLine="1304"/>
        <w:spacing w:after="0" w:line="260" w:lineRule="auto"/>
        <w:tabs>
          <w:tab w:leader="none" w:pos="1938" w:val="left"/>
        </w:tabs>
        <w:numPr>
          <w:ilvl w:val="1"/>
          <w:numId w:val="29"/>
        </w:numPr>
        <w:rPr>
          <w:rFonts w:ascii="Arial" w:cs="Arial" w:eastAsia="Arial" w:hAnsi="Arial"/>
          <w:sz w:val="21"/>
          <w:szCs w:val="21"/>
          <w:b w:val="1"/>
          <w:bCs w:val="1"/>
          <w:color w:val="auto"/>
        </w:rPr>
      </w:pPr>
      <w:r>
        <w:rPr>
          <w:rFonts w:ascii="Arial" w:cs="Arial" w:eastAsia="Arial" w:hAnsi="Arial"/>
          <w:sz w:val="21"/>
          <w:szCs w:val="21"/>
          <w:u w:val="single" w:color="auto"/>
          <w:color w:val="auto"/>
        </w:rPr>
        <w:t>Non-Solicitation of Employees</w:t>
      </w:r>
      <w:r>
        <w:rPr>
          <w:rFonts w:ascii="Arial" w:cs="Arial" w:eastAsia="Arial" w:hAnsi="Arial"/>
          <w:sz w:val="21"/>
          <w:szCs w:val="21"/>
          <w:color w:val="auto"/>
        </w:rPr>
        <w:t xml:space="preserve">. For a period of one year following Executive’s Date of Termination, Executive shall not, either directly or indirectly (i) solicit for employment by any individual, corporation, firm, or other business, any employees, consultants, independent contractors, or other service providers of the Company or any of its affiliates, or (ii) solicit any employee or consultant of the Company or any of its affiliates to leave the employment or consulting of or cease providing services to the Company or any of its affiliates;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the foregoing clauses (i) and (ii) shall not apply to a general advertisement or solicitation (or any hiring pursuant to such advertisement or solicitation) that is not specifically targeted to such employees or consultants.</w:t>
      </w:r>
    </w:p>
    <w:p>
      <w:pPr>
        <w:spacing w:after="0" w:line="180" w:lineRule="exact"/>
        <w:rPr>
          <w:rFonts w:ascii="Arial" w:cs="Arial" w:eastAsia="Arial" w:hAnsi="Arial"/>
          <w:sz w:val="21"/>
          <w:szCs w:val="21"/>
          <w:b w:val="1"/>
          <w:bCs w:val="1"/>
          <w:color w:val="auto"/>
        </w:rPr>
      </w:pPr>
    </w:p>
    <w:p>
      <w:pPr>
        <w:jc w:val="both"/>
        <w:ind w:firstLine="1304"/>
        <w:spacing w:after="0" w:line="265" w:lineRule="auto"/>
        <w:tabs>
          <w:tab w:leader="none" w:pos="1941" w:val="left"/>
        </w:tabs>
        <w:numPr>
          <w:ilvl w:val="1"/>
          <w:numId w:val="29"/>
        </w:numPr>
        <w:rPr>
          <w:rFonts w:ascii="Arial" w:cs="Arial" w:eastAsia="Arial" w:hAnsi="Arial"/>
          <w:sz w:val="21"/>
          <w:szCs w:val="21"/>
          <w:b w:val="1"/>
          <w:bCs w:val="1"/>
          <w:color w:val="auto"/>
        </w:rPr>
      </w:pPr>
      <w:r>
        <w:rPr>
          <w:rFonts w:ascii="Arial" w:cs="Arial" w:eastAsia="Arial" w:hAnsi="Arial"/>
          <w:sz w:val="21"/>
          <w:szCs w:val="21"/>
          <w:u w:val="single" w:color="auto"/>
          <w:color w:val="auto"/>
        </w:rPr>
        <w:t>Governing Law</w:t>
      </w:r>
      <w:r>
        <w:rPr>
          <w:rFonts w:ascii="Arial" w:cs="Arial" w:eastAsia="Arial" w:hAnsi="Arial"/>
          <w:sz w:val="21"/>
          <w:szCs w:val="21"/>
          <w:color w:val="auto"/>
        </w:rPr>
        <w:t>. This Agreement shall be governed, construed, interpreted, and enforced in accordance with its express terms, and otherwise in accordance with the substantive laws of the State of California, without giving effect to any principles of conflicts of law, whether of the State of California or any other jurisdiction, and where applicable, the laws of the United States, that would result in the application of the laws of any other jurisdiction.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ectPr>
          <w:pgSz w:w="11900" w:h="16838" w:orient="portrait"/>
          <w:cols w:equalWidth="0" w:num="1">
            <w:col w:w="11240"/>
          </w:cols>
          <w:pgMar w:left="320" w:top="1440" w:right="339" w:bottom="1440" w:gutter="0" w:footer="0" w:header="0"/>
        </w:sectPr>
      </w:pPr>
    </w:p>
    <w:bookmarkStart w:id="57" w:name="page58"/>
    <w:bookmarkEnd w:id="57"/>
    <w:p>
      <w:pPr>
        <w:spacing w:after="0" w:line="204" w:lineRule="exact"/>
        <w:rPr>
          <w:sz w:val="20"/>
          <w:szCs w:val="20"/>
          <w:color w:val="auto"/>
        </w:rPr>
      </w:pPr>
    </w:p>
    <w:p>
      <w:pPr>
        <w:ind w:firstLine="1304"/>
        <w:spacing w:after="0" w:line="287" w:lineRule="auto"/>
        <w:tabs>
          <w:tab w:leader="none" w:pos="1938" w:val="left"/>
        </w:tabs>
        <w:numPr>
          <w:ilvl w:val="0"/>
          <w:numId w:val="30"/>
        </w:numPr>
        <w:rPr>
          <w:rFonts w:ascii="Arial" w:cs="Arial" w:eastAsia="Arial" w:hAnsi="Arial"/>
          <w:sz w:val="21"/>
          <w:szCs w:val="21"/>
          <w:b w:val="1"/>
          <w:bCs w:val="1"/>
          <w:color w:val="auto"/>
        </w:rPr>
      </w:pPr>
      <w:r>
        <w:rPr>
          <w:rFonts w:ascii="Arial" w:cs="Arial" w:eastAsia="Arial" w:hAnsi="Arial"/>
          <w:sz w:val="21"/>
          <w:szCs w:val="21"/>
          <w:u w:val="single" w:color="auto"/>
          <w:color w:val="auto"/>
        </w:rPr>
        <w:t>Validity</w:t>
      </w:r>
      <w:r>
        <w:rPr>
          <w:rFonts w:ascii="Arial" w:cs="Arial" w:eastAsia="Arial" w:hAnsi="Arial"/>
          <w:sz w:val="21"/>
          <w:szCs w:val="21"/>
          <w:color w:val="auto"/>
        </w:rPr>
        <w:t>. The invalidity or unenforceability of any provision or provisions of this Agreement shall not affect the validity or enforceability of any other provision of this Agreement, which shall remain in full force and effect.</w:t>
      </w:r>
    </w:p>
    <w:p>
      <w:pPr>
        <w:spacing w:after="0" w:line="151" w:lineRule="exact"/>
        <w:rPr>
          <w:rFonts w:ascii="Arial" w:cs="Arial" w:eastAsia="Arial" w:hAnsi="Arial"/>
          <w:sz w:val="21"/>
          <w:szCs w:val="21"/>
          <w:b w:val="1"/>
          <w:bCs w:val="1"/>
          <w:color w:val="auto"/>
        </w:rPr>
      </w:pPr>
    </w:p>
    <w:p>
      <w:pPr>
        <w:jc w:val="both"/>
        <w:ind w:firstLine="1304"/>
        <w:spacing w:after="0" w:line="253" w:lineRule="auto"/>
        <w:tabs>
          <w:tab w:leader="none" w:pos="1941" w:val="left"/>
        </w:tabs>
        <w:numPr>
          <w:ilvl w:val="0"/>
          <w:numId w:val="30"/>
        </w:numPr>
        <w:rPr>
          <w:rFonts w:ascii="Arial" w:cs="Arial" w:eastAsia="Arial" w:hAnsi="Arial"/>
          <w:sz w:val="22"/>
          <w:szCs w:val="22"/>
          <w:b w:val="1"/>
          <w:bCs w:val="1"/>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several counterparts, each of which shall be deemed to be an original, but all of which together will constitute one and the same Agreement. Signatures delivered by facsimile shall be deemed effective for all purposes.</w:t>
      </w:r>
    </w:p>
    <w:p>
      <w:pPr>
        <w:spacing w:after="0" w:line="185" w:lineRule="exact"/>
        <w:rPr>
          <w:rFonts w:ascii="Arial" w:cs="Arial" w:eastAsia="Arial" w:hAnsi="Arial"/>
          <w:sz w:val="22"/>
          <w:szCs w:val="22"/>
          <w:b w:val="1"/>
          <w:bCs w:val="1"/>
          <w:color w:val="auto"/>
        </w:rPr>
      </w:pPr>
    </w:p>
    <w:p>
      <w:pPr>
        <w:jc w:val="both"/>
        <w:ind w:firstLine="1304"/>
        <w:spacing w:after="0" w:line="294" w:lineRule="auto"/>
        <w:tabs>
          <w:tab w:leader="none" w:pos="1944" w:val="left"/>
        </w:tabs>
        <w:numPr>
          <w:ilvl w:val="0"/>
          <w:numId w:val="30"/>
        </w:numPr>
        <w:rPr>
          <w:rFonts w:ascii="Arial" w:cs="Arial" w:eastAsia="Arial" w:hAnsi="Arial"/>
          <w:sz w:val="19"/>
          <w:szCs w:val="19"/>
          <w:b w:val="1"/>
          <w:bCs w:val="1"/>
          <w:color w:val="auto"/>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The terms of this Agreement, together with the Confidentiality Agreement, are intended by the Parties to be the final expression of their agreement with respect to the employment of Executive by the Company and supersede all prior understandings and agreements, whether written or oral, regarding Executive’s service to the Company. The Parties further intend that this Agreement, together with the Confidentiality Agreement, shall constitute the complete and exclusive statement of their terms and that no extrinsic evidence whatsoever may be introduced in any judicial, administrative, or other legal proceeding to vary the terms of this Agreement or the Confidentiality Agreement.</w:t>
      </w:r>
    </w:p>
    <w:p>
      <w:pPr>
        <w:spacing w:after="0" w:line="149" w:lineRule="exact"/>
        <w:rPr>
          <w:rFonts w:ascii="Arial" w:cs="Arial" w:eastAsia="Arial" w:hAnsi="Arial"/>
          <w:sz w:val="19"/>
          <w:szCs w:val="19"/>
          <w:b w:val="1"/>
          <w:bCs w:val="1"/>
          <w:color w:val="auto"/>
        </w:rPr>
      </w:pPr>
    </w:p>
    <w:p>
      <w:pPr>
        <w:jc w:val="both"/>
        <w:ind w:firstLine="1304"/>
        <w:spacing w:after="0" w:line="260" w:lineRule="auto"/>
        <w:tabs>
          <w:tab w:leader="none" w:pos="1939" w:val="left"/>
        </w:tabs>
        <w:numPr>
          <w:ilvl w:val="0"/>
          <w:numId w:val="30"/>
        </w:numPr>
        <w:rPr>
          <w:rFonts w:ascii="Arial" w:cs="Arial" w:eastAsia="Arial" w:hAnsi="Arial"/>
          <w:sz w:val="21"/>
          <w:szCs w:val="21"/>
          <w:b w:val="1"/>
          <w:bCs w:val="1"/>
          <w:color w:val="auto"/>
        </w:rPr>
      </w:pPr>
      <w:r>
        <w:rPr>
          <w:rFonts w:ascii="Arial" w:cs="Arial" w:eastAsia="Arial" w:hAnsi="Arial"/>
          <w:sz w:val="21"/>
          <w:szCs w:val="21"/>
          <w:u w:val="single" w:color="auto"/>
          <w:color w:val="auto"/>
        </w:rPr>
        <w:t>Amendments; Waivers</w:t>
      </w:r>
      <w:r>
        <w:rPr>
          <w:rFonts w:ascii="Arial" w:cs="Arial" w:eastAsia="Arial" w:hAnsi="Arial"/>
          <w:sz w:val="21"/>
          <w:szCs w:val="21"/>
          <w:color w:val="auto"/>
        </w:rPr>
        <w:t xml:space="preserve">. This Agreement may not be modified, amended, or terminated except by an instrument in writing signed by Executive and a duly authorized representative of the Company. By an instrument in writing similarly executed, Executive or a duly authorized officer of the Company, as applicable, may waive compliance by the other Party with any specifically identified provision of this Agreement that such other Party was or is obligated to comply with or perform;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such waiver shall not operate as a waiver of, or estoppel with respect to, any other or subsequent failure. No failure to exercise and no delay in exercising any right, remedy, or power hereunder shall preclude any other or further exercise of any other right, remedy, or power provided herein or by law or in equity.</w:t>
      </w:r>
    </w:p>
    <w:p>
      <w:pPr>
        <w:spacing w:after="0" w:line="180" w:lineRule="exact"/>
        <w:rPr>
          <w:rFonts w:ascii="Arial" w:cs="Arial" w:eastAsia="Arial" w:hAnsi="Arial"/>
          <w:sz w:val="21"/>
          <w:szCs w:val="21"/>
          <w:b w:val="1"/>
          <w:bCs w:val="1"/>
          <w:color w:val="auto"/>
        </w:rPr>
      </w:pPr>
    </w:p>
    <w:p>
      <w:pPr>
        <w:jc w:val="both"/>
        <w:ind w:firstLine="1304"/>
        <w:spacing w:after="0" w:line="286" w:lineRule="auto"/>
        <w:tabs>
          <w:tab w:leader="none" w:pos="1938" w:val="left"/>
        </w:tabs>
        <w:numPr>
          <w:ilvl w:val="0"/>
          <w:numId w:val="30"/>
        </w:numPr>
        <w:rPr>
          <w:rFonts w:ascii="Arial" w:cs="Arial" w:eastAsia="Arial" w:hAnsi="Arial"/>
          <w:sz w:val="19"/>
          <w:szCs w:val="19"/>
          <w:b w:val="1"/>
          <w:bCs w:val="1"/>
          <w:color w:val="auto"/>
        </w:rPr>
      </w:pPr>
      <w:r>
        <w:rPr>
          <w:rFonts w:ascii="Arial" w:cs="Arial" w:eastAsia="Arial" w:hAnsi="Arial"/>
          <w:sz w:val="19"/>
          <w:szCs w:val="19"/>
          <w:u w:val="single" w:color="auto"/>
          <w:color w:val="auto"/>
        </w:rPr>
        <w:t>Dispute Resolution</w:t>
      </w:r>
      <w:r>
        <w:rPr>
          <w:rFonts w:ascii="Arial" w:cs="Arial" w:eastAsia="Arial" w:hAnsi="Arial"/>
          <w:sz w:val="19"/>
          <w:szCs w:val="19"/>
          <w:color w:val="auto"/>
        </w:rPr>
        <w:t xml:space="preserve">. To ensure the timely and economical resolution of disputes that arise in connection with this Agreement, Executive and the Company agree that, except as excluded herein, any and all controversies, claims and disputes arising out of or relating to this Agreement, including without limitation any alleged violation of its terms or otherwise arising out of the Parties’ relationship, shall be resolved solely and exclusively by final and binding arbitration held in Santa Clara County, California through JAMS in conformity with California law and the then-existing JAMS employment arbitration rules, which can be found at </w:t>
      </w:r>
      <w:r>
        <w:rPr>
          <w:rFonts w:ascii="Arial" w:cs="Arial" w:eastAsia="Arial" w:hAnsi="Arial"/>
          <w:sz w:val="19"/>
          <w:szCs w:val="19"/>
          <w:u w:val="single" w:color="auto"/>
          <w:color w:val="0000FF"/>
        </w:rPr>
        <w:t>https://www.jamsadr.com/rules-employment-arbitration/</w:t>
      </w:r>
      <w:r>
        <w:rPr>
          <w:rFonts w:ascii="Arial" w:cs="Arial" w:eastAsia="Arial" w:hAnsi="Arial"/>
          <w:sz w:val="19"/>
          <w:szCs w:val="19"/>
          <w:color w:val="auto"/>
        </w:rPr>
        <w:t>. The Federal Arbitration Act, 9 U.S.C. §§ 1 et seq. shall govern the interpretation and enforcement of this arbitration clause. All remedies available from a court of competent jurisdiction shall be available in the arbitration; provided, however, in the event of a breach of Sections 7(a) or 7(b), the Company may request relief from a court of competent jurisdiction if such relief is not available or not available in a timely fashion through arbitration as determined by the Company. The arbitrator shall: (a) provide adequate discovery for the resolution of the dispute; and (b) issue a written arbitration decision, to include the arbitrator’s essential findings and conclusions and a statement of the award. The arbitrator shall award the prevailing Party attorneys’ fees and expert fees, if any. Notwithstanding the foregoing, it is acknowledged that it will be impossible to measure in money</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ectPr>
          <w:pgSz w:w="11900" w:h="16838" w:orient="portrait"/>
          <w:cols w:equalWidth="0" w:num="1">
            <w:col w:w="11240"/>
          </w:cols>
          <w:pgMar w:left="320" w:top="1440" w:right="339" w:bottom="1440" w:gutter="0" w:footer="0" w:header="0"/>
        </w:sectPr>
      </w:pPr>
    </w:p>
    <w:bookmarkStart w:id="58" w:name="page59"/>
    <w:bookmarkEnd w:id="58"/>
    <w:p>
      <w:pPr>
        <w:spacing w:after="0" w:line="204"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 damages that would be suffered if the Parties fail to comply with any of the obligations imposed on them under Sections 8(a) and 8(b), and that in the event of any such failure, an aggrieved person will be irreparably damaged and will not have an adequate remedy at law. Any such person shall, therefore, be entitled to seek injunctive relief, including specific performance, to enforce such obligations, and if any action shall be brought in equity to enforce any of the provisions of Sections 8(a) and 8(b), none of the Parties shall raise the defense, without a good faith basis for raising such defense, that there is an adequate remedy at law. Executive and the Company understand that by agreement to arbitrate any claim pursuant to this Section 8(h), they will not have the right to have any claim decided by a jury or a court, but shall instead have any claim decided through arbitration. Executive and the Company waive any constitutional or other right to bring claims covered by this Agreement other than in their individual capacities. Except as may be prohibited by applicable law, the foregoing waiver includes the ability to assert claims as a plaintiff or class member in any purported class or collective action or representative proceeding. Nothing herein shall limit Executive’s ability to pursue claims for workers compensation or unemployment benefits or pursue other claims which by law cannot be subject to mandatory arbitration.</w:t>
      </w:r>
    </w:p>
    <w:p>
      <w:pPr>
        <w:spacing w:after="0" w:line="200" w:lineRule="exact"/>
        <w:rPr>
          <w:sz w:val="20"/>
          <w:szCs w:val="20"/>
          <w:color w:val="auto"/>
        </w:rPr>
      </w:pPr>
    </w:p>
    <w:p>
      <w:pPr>
        <w:spacing w:after="0" w:line="220" w:lineRule="exact"/>
        <w:rPr>
          <w:sz w:val="20"/>
          <w:szCs w:val="20"/>
          <w:color w:val="auto"/>
        </w:rPr>
      </w:pPr>
    </w:p>
    <w:p>
      <w:pPr>
        <w:jc w:val="both"/>
        <w:ind w:firstLine="1304"/>
        <w:spacing w:after="0" w:line="260" w:lineRule="auto"/>
        <w:tabs>
          <w:tab w:leader="none" w:pos="1932" w:val="left"/>
        </w:tabs>
        <w:numPr>
          <w:ilvl w:val="0"/>
          <w:numId w:val="31"/>
        </w:numPr>
        <w:rPr>
          <w:rFonts w:ascii="Arial" w:cs="Arial" w:eastAsia="Arial" w:hAnsi="Arial"/>
          <w:sz w:val="21"/>
          <w:szCs w:val="21"/>
          <w:b w:val="1"/>
          <w:bCs w:val="1"/>
          <w:color w:val="auto"/>
        </w:rPr>
      </w:pPr>
      <w:r>
        <w:rPr>
          <w:rFonts w:ascii="Arial" w:cs="Arial" w:eastAsia="Arial" w:hAnsi="Arial"/>
          <w:sz w:val="21"/>
          <w:szCs w:val="21"/>
          <w:u w:val="single" w:color="auto"/>
          <w:color w:val="auto"/>
        </w:rPr>
        <w:t>Enforcement</w:t>
      </w:r>
      <w:r>
        <w:rPr>
          <w:rFonts w:ascii="Arial" w:cs="Arial" w:eastAsia="Arial" w:hAnsi="Arial"/>
          <w:sz w:val="21"/>
          <w:szCs w:val="21"/>
          <w:color w:val="auto"/>
        </w:rPr>
        <w:t>. If any provision of this Agreement is held to be illegal, invalid, or unenforceable under present or future laws, such provision shall be fully severable; this Agreement shall be construed and enforced as if such illegal, invalid, or unenforceable provision had never comprised a portion of this Agreement; and the remaining provisions of this Agreement shall remain in full force and effect and shall not be affected by the illegal, invalid, or unenforceable provision or by its severance from this Agreement. Furthermore, in lieu of such illegal, invalid, or unenforceable provision there shall be added automatically as part of this Agreement a provision as similar in terms to such illegal, invalid, or unenforceable provision as may be possible and be legal, valid, and enforceable.</w:t>
      </w:r>
    </w:p>
    <w:p>
      <w:pPr>
        <w:spacing w:after="0" w:line="180" w:lineRule="exact"/>
        <w:rPr>
          <w:rFonts w:ascii="Arial" w:cs="Arial" w:eastAsia="Arial" w:hAnsi="Arial"/>
          <w:sz w:val="21"/>
          <w:szCs w:val="21"/>
          <w:b w:val="1"/>
          <w:bCs w:val="1"/>
          <w:color w:val="auto"/>
        </w:rPr>
      </w:pPr>
    </w:p>
    <w:p>
      <w:pPr>
        <w:jc w:val="both"/>
        <w:ind w:firstLine="1304"/>
        <w:spacing w:after="0" w:line="250" w:lineRule="auto"/>
        <w:tabs>
          <w:tab w:leader="none" w:pos="1944" w:val="left"/>
        </w:tabs>
        <w:numPr>
          <w:ilvl w:val="0"/>
          <w:numId w:val="31"/>
        </w:numPr>
        <w:rPr>
          <w:rFonts w:ascii="Arial" w:cs="Arial" w:eastAsia="Arial" w:hAnsi="Arial"/>
          <w:sz w:val="22"/>
          <w:szCs w:val="22"/>
          <w:b w:val="1"/>
          <w:bCs w:val="1"/>
          <w:color w:val="auto"/>
        </w:rPr>
      </w:pPr>
      <w:r>
        <w:rPr>
          <w:rFonts w:ascii="Arial" w:cs="Arial" w:eastAsia="Arial" w:hAnsi="Arial"/>
          <w:sz w:val="22"/>
          <w:szCs w:val="22"/>
          <w:u w:val="single" w:color="auto"/>
          <w:color w:val="auto"/>
        </w:rPr>
        <w:t>Withholding</w:t>
      </w:r>
      <w:r>
        <w:rPr>
          <w:rFonts w:ascii="Arial" w:cs="Arial" w:eastAsia="Arial" w:hAnsi="Arial"/>
          <w:sz w:val="22"/>
          <w:szCs w:val="22"/>
          <w:color w:val="auto"/>
        </w:rPr>
        <w:t>. The Company shall be entitled to withhold from any amounts payable under this Agreement any federal, state, local, or foreign withholding or other taxes or charges which the Company is required to withhold. The Company shall be entitled to rely on an opinion of counsel if any questions as to the amount or requirement of withholding shall arise.</w:t>
      </w:r>
    </w:p>
    <w:p>
      <w:pPr>
        <w:spacing w:after="0" w:line="187" w:lineRule="exact"/>
        <w:rPr>
          <w:rFonts w:ascii="Arial" w:cs="Arial" w:eastAsia="Arial" w:hAnsi="Arial"/>
          <w:sz w:val="22"/>
          <w:szCs w:val="22"/>
          <w:b w:val="1"/>
          <w:bCs w:val="1"/>
          <w:color w:val="auto"/>
        </w:rPr>
      </w:pPr>
    </w:p>
    <w:p>
      <w:pPr>
        <w:jc w:val="both"/>
        <w:ind w:firstLine="1304"/>
        <w:spacing w:after="0" w:line="289" w:lineRule="auto"/>
        <w:tabs>
          <w:tab w:leader="none" w:pos="1938" w:val="left"/>
        </w:tabs>
        <w:numPr>
          <w:ilvl w:val="0"/>
          <w:numId w:val="31"/>
        </w:numPr>
        <w:rPr>
          <w:rFonts w:ascii="Arial" w:cs="Arial" w:eastAsia="Arial" w:hAnsi="Arial"/>
          <w:sz w:val="19"/>
          <w:szCs w:val="19"/>
          <w:b w:val="1"/>
          <w:bCs w:val="1"/>
          <w:color w:val="auto"/>
        </w:rPr>
      </w:pPr>
      <w:r>
        <w:rPr>
          <w:rFonts w:ascii="Arial" w:cs="Arial" w:eastAsia="Arial" w:hAnsi="Arial"/>
          <w:sz w:val="19"/>
          <w:szCs w:val="19"/>
          <w:u w:val="single" w:color="auto"/>
          <w:color w:val="auto"/>
        </w:rPr>
        <w:t>Whistleblower Protections and Trade Secrets</w:t>
      </w:r>
      <w:r>
        <w:rPr>
          <w:rFonts w:ascii="Arial" w:cs="Arial" w:eastAsia="Arial" w:hAnsi="Arial"/>
          <w:sz w:val="19"/>
          <w:szCs w:val="19"/>
          <w:color w:val="auto"/>
        </w:rPr>
        <w:t>. Notwithstanding anything to the contrary contained herein, nothing in this Agreement prohibits Executive from reporting possible violations of federal law or regulation to any United States governmental agency or entity in accordance with the provisions of and rules promulgated under Section 21F of the Securities Exchange Act of 1934 or Section 806 of the Sarbanes-Oxley Act of 2002, or any other whistleblower protection provisions of state or federal law or regulation (including the right to receive an award for information provided to any such government agencies). Furthermore, in accordance with 18 U.S.C. § 1833, notwithstanding anything to the contrary in this Agreement: (i) Executive shall not be in breach of this Agreement, and shall not be held criminally or civilly liable under any federal or state trade secret law (x) for the disclosure of a trade secret that is made in confidence to a federal, state, or local government official or to an attorney solely for the purpose of reporting or investigating a suspected violation of law, or (y) for the disclosure of a</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ectPr>
          <w:pgSz w:w="11900" w:h="16838" w:orient="portrait"/>
          <w:cols w:equalWidth="0" w:num="1">
            <w:col w:w="11240"/>
          </w:cols>
          <w:pgMar w:left="320" w:top="1440" w:right="339" w:bottom="1440" w:gutter="0" w:footer="0" w:header="0"/>
        </w:sectPr>
      </w:pPr>
    </w:p>
    <w:bookmarkStart w:id="59" w:name="page60"/>
    <w:bookmarkEnd w:id="59"/>
    <w:p>
      <w:pPr>
        <w:spacing w:after="0" w:line="204"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trade secret that is made in a complaint or other document filed in a lawsuit or other proceeding, if such filing is made under seal; and (ii) if Executive files a lawsuit for retaliation by the Company for reporting a suspected violation of law, Executive may disclose the trade secret to Executive’s attorney, and may use the trade secret information in the court proceeding, if Executive files any document containing the trade secret under seal, and does not disclose the trade secret, except pursuant to court order.</w:t>
      </w:r>
    </w:p>
    <w:p>
      <w:pPr>
        <w:spacing w:after="0" w:line="136" w:lineRule="exact"/>
        <w:rPr>
          <w:sz w:val="20"/>
          <w:szCs w:val="20"/>
          <w:color w:val="auto"/>
        </w:rPr>
      </w:pPr>
    </w:p>
    <w:p>
      <w:pPr>
        <w:ind w:left="1300" w:hanging="644"/>
        <w:spacing w:after="0"/>
        <w:tabs>
          <w:tab w:leader="none" w:pos="1300" w:val="left"/>
        </w:tabs>
        <w:numPr>
          <w:ilvl w:val="0"/>
          <w:numId w:val="32"/>
        </w:numPr>
        <w:rPr>
          <w:rFonts w:ascii="Arial" w:cs="Arial" w:eastAsia="Arial" w:hAnsi="Arial"/>
          <w:sz w:val="22"/>
          <w:szCs w:val="22"/>
          <w:b w:val="1"/>
          <w:bCs w:val="1"/>
          <w:color w:val="auto"/>
        </w:rPr>
      </w:pPr>
      <w:r>
        <w:rPr>
          <w:rFonts w:ascii="Arial" w:cs="Arial" w:eastAsia="Arial" w:hAnsi="Arial"/>
          <w:sz w:val="22"/>
          <w:szCs w:val="22"/>
          <w:b w:val="1"/>
          <w:bCs w:val="1"/>
          <w:color w:val="auto"/>
        </w:rPr>
        <w:t>Golden Parachute Excise Tax</w:t>
      </w:r>
      <w:r>
        <w:rPr>
          <w:rFonts w:ascii="Arial" w:cs="Arial" w:eastAsia="Arial" w:hAnsi="Arial"/>
          <w:sz w:val="22"/>
          <w:szCs w:val="22"/>
          <w:color w:val="auto"/>
        </w:rPr>
        <w:t>.</w:t>
      </w:r>
    </w:p>
    <w:p>
      <w:pPr>
        <w:spacing w:after="0" w:line="225" w:lineRule="exact"/>
        <w:rPr>
          <w:rFonts w:ascii="Arial" w:cs="Arial" w:eastAsia="Arial" w:hAnsi="Arial"/>
          <w:sz w:val="22"/>
          <w:szCs w:val="22"/>
          <w:b w:val="1"/>
          <w:bCs w:val="1"/>
          <w:color w:val="auto"/>
        </w:rPr>
      </w:pPr>
    </w:p>
    <w:p>
      <w:pPr>
        <w:jc w:val="both"/>
        <w:ind w:firstLine="1304"/>
        <w:spacing w:after="0" w:line="284" w:lineRule="auto"/>
        <w:tabs>
          <w:tab w:leader="none" w:pos="1939" w:val="left"/>
        </w:tabs>
        <w:numPr>
          <w:ilvl w:val="1"/>
          <w:numId w:val="32"/>
        </w:numPr>
        <w:rPr>
          <w:rFonts w:ascii="Arial" w:cs="Arial" w:eastAsia="Arial" w:hAnsi="Arial"/>
          <w:sz w:val="19"/>
          <w:szCs w:val="19"/>
          <w:b w:val="1"/>
          <w:bCs w:val="1"/>
          <w:color w:val="auto"/>
        </w:rPr>
      </w:pPr>
      <w:r>
        <w:rPr>
          <w:rFonts w:ascii="Arial" w:cs="Arial" w:eastAsia="Arial" w:hAnsi="Arial"/>
          <w:sz w:val="19"/>
          <w:szCs w:val="19"/>
          <w:u w:val="single" w:color="auto"/>
          <w:color w:val="auto"/>
        </w:rPr>
        <w:t>Best Pay</w:t>
      </w:r>
      <w:r>
        <w:rPr>
          <w:rFonts w:ascii="Arial" w:cs="Arial" w:eastAsia="Arial" w:hAnsi="Arial"/>
          <w:sz w:val="19"/>
          <w:szCs w:val="19"/>
          <w:color w:val="auto"/>
        </w:rPr>
        <w:t>. Any provision of this Agreement to the contrary notwithstanding, if any payment or benefit Executive would receive from the Company pursuant to this Agreement or otherwise (“</w:t>
      </w:r>
      <w:r>
        <w:rPr>
          <w:rFonts w:ascii="Arial" w:cs="Arial" w:eastAsia="Arial" w:hAnsi="Arial"/>
          <w:sz w:val="19"/>
          <w:szCs w:val="19"/>
          <w:b w:val="1"/>
          <w:bCs w:val="1"/>
          <w:i w:val="1"/>
          <w:iCs w:val="1"/>
          <w:color w:val="auto"/>
        </w:rPr>
        <w:t>Payment</w:t>
      </w:r>
      <w:r>
        <w:rPr>
          <w:rFonts w:ascii="Arial" w:cs="Arial" w:eastAsia="Arial" w:hAnsi="Arial"/>
          <w:sz w:val="19"/>
          <w:szCs w:val="19"/>
          <w:color w:val="auto"/>
        </w:rPr>
        <w:t>”) would (i) constitute a “parachute payment” within the meaning of Section 280G of the Code and (ii) but for this sentence, be subject to the excise tax imposed by Section 4999 of the Code (the “</w:t>
      </w:r>
      <w:r>
        <w:rPr>
          <w:rFonts w:ascii="Arial" w:cs="Arial" w:eastAsia="Arial" w:hAnsi="Arial"/>
          <w:sz w:val="19"/>
          <w:szCs w:val="19"/>
          <w:b w:val="1"/>
          <w:bCs w:val="1"/>
          <w:i w:val="1"/>
          <w:iCs w:val="1"/>
          <w:color w:val="auto"/>
        </w:rPr>
        <w:t>Excise Tax</w:t>
      </w:r>
      <w:r>
        <w:rPr>
          <w:rFonts w:ascii="Arial" w:cs="Arial" w:eastAsia="Arial" w:hAnsi="Arial"/>
          <w:sz w:val="19"/>
          <w:szCs w:val="19"/>
          <w:color w:val="auto"/>
        </w:rPr>
        <w:t>”), then such Payment will be equal to the Reduced Amount (as defined below). The “</w:t>
      </w:r>
      <w:r>
        <w:rPr>
          <w:rFonts w:ascii="Arial" w:cs="Arial" w:eastAsia="Arial" w:hAnsi="Arial"/>
          <w:sz w:val="19"/>
          <w:szCs w:val="19"/>
          <w:b w:val="1"/>
          <w:bCs w:val="1"/>
          <w:i w:val="1"/>
          <w:iCs w:val="1"/>
          <w:color w:val="auto"/>
        </w:rPr>
        <w:t>Reduced Amount</w:t>
      </w:r>
      <w:r>
        <w:rPr>
          <w:rFonts w:ascii="Arial" w:cs="Arial" w:eastAsia="Arial" w:hAnsi="Arial"/>
          <w:sz w:val="19"/>
          <w:szCs w:val="19"/>
          <w:color w:val="auto"/>
        </w:rPr>
        <w:t>” will be either (A) the largest portion of the Payment that would result in no portion of the Payment (after reduction) being subject to the Excise Tax or (B) the entire Payment, whichever amount after taking into account all applicable federal, state, and local employment taxes, income taxes, and the Excise Tax (all computed at the highest applicable marginal rate, net of the maximum reduction in federal income taxes which could be obtained from a deduction of such state and local taxes), results in Executive’ s receipt, on an after-tax basis, of the greater economic benefit notwithstanding that all or some portion of the Payment may be subject to the Excise Tax. If a reduction in a Payment is required pursuant to the preceding sentence and the Reduced Amount is determined pursuant to clause (A) of the preceding sentence, the reduction shall occur in the manner (the “</w:t>
      </w:r>
      <w:r>
        <w:rPr>
          <w:rFonts w:ascii="Arial" w:cs="Arial" w:eastAsia="Arial" w:hAnsi="Arial"/>
          <w:sz w:val="19"/>
          <w:szCs w:val="19"/>
          <w:b w:val="1"/>
          <w:bCs w:val="1"/>
          <w:i w:val="1"/>
          <w:iCs w:val="1"/>
          <w:color w:val="auto"/>
        </w:rPr>
        <w:t>Reduction Method</w:t>
      </w:r>
      <w:r>
        <w:rPr>
          <w:rFonts w:ascii="Arial" w:cs="Arial" w:eastAsia="Arial" w:hAnsi="Arial"/>
          <w:sz w:val="19"/>
          <w:szCs w:val="19"/>
          <w:color w:val="auto"/>
        </w:rPr>
        <w:t>”) that results in the greatest economic benefit for Executive. If more than one method of reduction will result in the same economic benefit, the items so reduced will be reduced pro rata (the “</w:t>
      </w:r>
      <w:r>
        <w:rPr>
          <w:rFonts w:ascii="Arial" w:cs="Arial" w:eastAsia="Arial" w:hAnsi="Arial"/>
          <w:sz w:val="19"/>
          <w:szCs w:val="19"/>
          <w:b w:val="1"/>
          <w:bCs w:val="1"/>
          <w:i w:val="1"/>
          <w:iCs w:val="1"/>
          <w:color w:val="auto"/>
        </w:rPr>
        <w:t>Pro Rata Reduction</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Method</w:t>
      </w:r>
      <w:r>
        <w:rPr>
          <w:rFonts w:ascii="Arial" w:cs="Arial" w:eastAsia="Arial" w:hAnsi="Arial"/>
          <w:sz w:val="19"/>
          <w:szCs w:val="19"/>
          <w:color w:val="auto"/>
        </w:rPr>
        <w:t>”). Notwithstanding the foregoing, if the Reduction Method or the Pro Rata Reduction Method would result in any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portion of the Payment being subject to taxes pursuant to Section 409A (as defined below) that would not otherwise be subject to taxes pursuant to Section 409A, then the Reduction Method and/or the Pro Rata Reduction Method, as the case may be, shall be modified so as to avoid the imposition of taxes pursuant to Section 409A as follows: (1) as a first priority, the modification shall preserve to the greatest extent possible, the greatest economic benefit for Executive as determined on an after-tax basis; (2) as a second priority, Payments that are contingent on future events (</w:t>
      </w:r>
      <w:r>
        <w:rPr>
          <w:rFonts w:ascii="Arial" w:cs="Arial" w:eastAsia="Arial" w:hAnsi="Arial"/>
          <w:sz w:val="19"/>
          <w:szCs w:val="19"/>
          <w:i w:val="1"/>
          <w:iCs w:val="1"/>
          <w:color w:val="auto"/>
        </w:rPr>
        <w:t>e.g</w:t>
      </w:r>
      <w:r>
        <w:rPr>
          <w:rFonts w:ascii="Arial" w:cs="Arial" w:eastAsia="Arial" w:hAnsi="Arial"/>
          <w:sz w:val="19"/>
          <w:szCs w:val="19"/>
          <w:color w:val="auto"/>
        </w:rPr>
        <w:t>., being terminated without cause), shall be reduced (or eliminated) before Payments that are not contingent on future events; and (3) as a third priority, Payments that are “deferred compensation” within the meaning of Section 409A shall be reduced (or eliminated) before Payments that are not deferred compensation within the meaning of Section 409A.</w:t>
      </w:r>
    </w:p>
    <w:p>
      <w:pPr>
        <w:spacing w:after="0" w:line="200" w:lineRule="exact"/>
        <w:rPr>
          <w:rFonts w:ascii="Arial" w:cs="Arial" w:eastAsia="Arial" w:hAnsi="Arial"/>
          <w:sz w:val="19"/>
          <w:szCs w:val="19"/>
          <w:b w:val="1"/>
          <w:bCs w:val="1"/>
          <w:color w:val="auto"/>
        </w:rPr>
      </w:pPr>
    </w:p>
    <w:p>
      <w:pPr>
        <w:spacing w:after="0" w:line="229" w:lineRule="exact"/>
        <w:rPr>
          <w:rFonts w:ascii="Arial" w:cs="Arial" w:eastAsia="Arial" w:hAnsi="Arial"/>
          <w:sz w:val="19"/>
          <w:szCs w:val="19"/>
          <w:b w:val="1"/>
          <w:bCs w:val="1"/>
          <w:color w:val="auto"/>
        </w:rPr>
      </w:pPr>
    </w:p>
    <w:p>
      <w:pPr>
        <w:jc w:val="both"/>
        <w:ind w:firstLine="1304"/>
        <w:spacing w:after="0" w:line="248" w:lineRule="auto"/>
        <w:tabs>
          <w:tab w:leader="none" w:pos="1938" w:val="left"/>
        </w:tabs>
        <w:numPr>
          <w:ilvl w:val="1"/>
          <w:numId w:val="32"/>
        </w:numPr>
        <w:rPr>
          <w:rFonts w:ascii="Arial" w:cs="Arial" w:eastAsia="Arial" w:hAnsi="Arial"/>
          <w:sz w:val="22"/>
          <w:szCs w:val="22"/>
          <w:b w:val="1"/>
          <w:bCs w:val="1"/>
          <w:color w:val="auto"/>
        </w:rPr>
      </w:pPr>
      <w:r>
        <w:rPr>
          <w:rFonts w:ascii="Arial" w:cs="Arial" w:eastAsia="Arial" w:hAnsi="Arial"/>
          <w:sz w:val="22"/>
          <w:szCs w:val="22"/>
          <w:u w:val="single" w:color="auto"/>
          <w:color w:val="auto"/>
        </w:rPr>
        <w:t>Accounting Firm</w:t>
      </w:r>
      <w:r>
        <w:rPr>
          <w:rFonts w:ascii="Arial" w:cs="Arial" w:eastAsia="Arial" w:hAnsi="Arial"/>
          <w:sz w:val="22"/>
          <w:szCs w:val="22"/>
          <w:color w:val="auto"/>
        </w:rPr>
        <w:t>. The accounting firm engaged by the Company for general tax purposes as of the day prior to the Change of Control will perform the calculations set forth in Section 9(a). If the firm so engaged by the Company is serving as the accountant or auditor for the acquiring company, the Company will appoint a nationally recognized accounting firm to make the determinations required hereunder. The Company will bear all expenses with respect to the determinations by such firm required to be made hereunder. The accounting firm</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ectPr>
          <w:pgSz w:w="11900" w:h="16838" w:orient="portrait"/>
          <w:cols w:equalWidth="0" w:num="1">
            <w:col w:w="11240"/>
          </w:cols>
          <w:pgMar w:left="320" w:top="1440" w:right="339" w:bottom="1440" w:gutter="0" w:footer="0" w:header="0"/>
        </w:sectPr>
      </w:pPr>
    </w:p>
    <w:bookmarkStart w:id="60" w:name="page61"/>
    <w:bookmarkEnd w:id="60"/>
    <w:p>
      <w:pPr>
        <w:spacing w:after="0" w:line="204"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engaged to make the determinations hereunder will provide its calculations, together with detailed supporting documentation, to the Company within thirty (30) days before the consummation of a Change of Control (if requested at that time by the Company) or such other time as requested by the Company. If the accounting firm determines that no Excise Tax is payable with respect to a Payment, either before or after the application of the Reduced Amount, it will furnish the Company with documentation reasonably acceptable to the Company that no Excise Tax will be imposed with respect to such Payment. Any good faith determinations of the accounting firm made hereunder will be final, binding and conclusive upon the Company and Executive.</w:t>
      </w:r>
    </w:p>
    <w:p>
      <w:pPr>
        <w:spacing w:after="0" w:line="143" w:lineRule="exact"/>
        <w:rPr>
          <w:sz w:val="20"/>
          <w:szCs w:val="20"/>
          <w:color w:val="auto"/>
        </w:rPr>
      </w:pPr>
    </w:p>
    <w:p>
      <w:pPr>
        <w:ind w:left="1300" w:hanging="644"/>
        <w:spacing w:after="0"/>
        <w:tabs>
          <w:tab w:leader="none" w:pos="1300" w:val="left"/>
        </w:tabs>
        <w:numPr>
          <w:ilvl w:val="0"/>
          <w:numId w:val="33"/>
        </w:numPr>
        <w:rPr>
          <w:rFonts w:ascii="Arial" w:cs="Arial" w:eastAsia="Arial" w:hAnsi="Arial"/>
          <w:sz w:val="22"/>
          <w:szCs w:val="22"/>
          <w:b w:val="1"/>
          <w:bCs w:val="1"/>
          <w:color w:val="auto"/>
        </w:rPr>
      </w:pPr>
      <w:r>
        <w:rPr>
          <w:rFonts w:ascii="Arial" w:cs="Arial" w:eastAsia="Arial" w:hAnsi="Arial"/>
          <w:sz w:val="22"/>
          <w:szCs w:val="22"/>
          <w:b w:val="1"/>
          <w:bCs w:val="1"/>
          <w:color w:val="auto"/>
        </w:rPr>
        <w:t>Section 409A</w:t>
      </w:r>
      <w:r>
        <w:rPr>
          <w:rFonts w:ascii="Arial" w:cs="Arial" w:eastAsia="Arial" w:hAnsi="Arial"/>
          <w:sz w:val="22"/>
          <w:szCs w:val="22"/>
          <w:color w:val="auto"/>
        </w:rPr>
        <w:t>.</w:t>
      </w:r>
    </w:p>
    <w:p>
      <w:pPr>
        <w:spacing w:after="0" w:line="225" w:lineRule="exact"/>
        <w:rPr>
          <w:rFonts w:ascii="Arial" w:cs="Arial" w:eastAsia="Arial" w:hAnsi="Arial"/>
          <w:sz w:val="22"/>
          <w:szCs w:val="22"/>
          <w:b w:val="1"/>
          <w:bCs w:val="1"/>
          <w:color w:val="auto"/>
        </w:rPr>
      </w:pPr>
    </w:p>
    <w:p>
      <w:pPr>
        <w:jc w:val="both"/>
        <w:ind w:firstLine="1304"/>
        <w:spacing w:after="0" w:line="286" w:lineRule="auto"/>
        <w:tabs>
          <w:tab w:leader="none" w:pos="1939" w:val="left"/>
        </w:tabs>
        <w:numPr>
          <w:ilvl w:val="1"/>
          <w:numId w:val="33"/>
        </w:numPr>
        <w:rPr>
          <w:rFonts w:ascii="Arial" w:cs="Arial" w:eastAsia="Arial" w:hAnsi="Arial"/>
          <w:sz w:val="19"/>
          <w:szCs w:val="19"/>
          <w:b w:val="1"/>
          <w:bCs w:val="1"/>
          <w:color w:val="auto"/>
        </w:rPr>
      </w:pPr>
      <w:r>
        <w:rPr>
          <w:rFonts w:ascii="Arial" w:cs="Arial" w:eastAsia="Arial" w:hAnsi="Arial"/>
          <w:sz w:val="19"/>
          <w:szCs w:val="19"/>
          <w:u w:val="single" w:color="auto"/>
          <w:color w:val="auto"/>
        </w:rPr>
        <w:t>General</w:t>
      </w:r>
      <w:r>
        <w:rPr>
          <w:rFonts w:ascii="Arial" w:cs="Arial" w:eastAsia="Arial" w:hAnsi="Arial"/>
          <w:sz w:val="19"/>
          <w:szCs w:val="19"/>
          <w:color w:val="auto"/>
        </w:rPr>
        <w:t>. The intent of the Parties is that the payments and benefits under this Agreement comply with or be exempt from Section 409A of the Code and the Department of Treasury regulations and other interpretive guidance issued thereunder, including without limitation any such regulations or other guidance that may be issued after the Effective Date, (“</w:t>
      </w:r>
      <w:r>
        <w:rPr>
          <w:rFonts w:ascii="Arial" w:cs="Arial" w:eastAsia="Arial" w:hAnsi="Arial"/>
          <w:sz w:val="19"/>
          <w:szCs w:val="19"/>
          <w:b w:val="1"/>
          <w:bCs w:val="1"/>
          <w:i w:val="1"/>
          <w:iCs w:val="1"/>
          <w:color w:val="auto"/>
        </w:rPr>
        <w:t>Section 409A</w:t>
      </w:r>
      <w:r>
        <w:rPr>
          <w:rFonts w:ascii="Arial" w:cs="Arial" w:eastAsia="Arial" w:hAnsi="Arial"/>
          <w:sz w:val="19"/>
          <w:szCs w:val="19"/>
          <w:color w:val="auto"/>
        </w:rPr>
        <w:t>”) and, accordingly, to the maximum extent permitted, this Agreement shall be interpreted to be in compliance therewith. Notwithstanding any provision of this Agreement to the contrary, if the Company determines that any compensation or benefits payable under this Agreement may be subject to Section 409A, the Company shall work in good faith with Executive to adopt such amendments to this Agreement or adopt other policies and procedures (including amendments, policies and procedures with retroactive effect), or take any other actions, that the Company determines are necessary or appropriate to avoid the imposition of taxes under Section 409A, including, without limitation, actions intended to (i) exempt the compensation and benefits payable under this Agreement from Section 409A, and/or (ii) comply with the requirements of Section 409A; however, this Section 9(a) shall not create an obligation on the part of the Company to adopt any such amendment, policy or procedure or take any such other action, nor shall the Company (A) have any liability for failing to do so, or (B) incur or indemnify Executive for any taxes, interest or other liabilities arising under or by operation of Section 409A.</w:t>
      </w:r>
    </w:p>
    <w:p>
      <w:pPr>
        <w:spacing w:after="0" w:line="165" w:lineRule="exact"/>
        <w:rPr>
          <w:rFonts w:ascii="Arial" w:cs="Arial" w:eastAsia="Arial" w:hAnsi="Arial"/>
          <w:sz w:val="19"/>
          <w:szCs w:val="19"/>
          <w:b w:val="1"/>
          <w:bCs w:val="1"/>
          <w:color w:val="auto"/>
        </w:rPr>
      </w:pPr>
    </w:p>
    <w:p>
      <w:pPr>
        <w:ind w:left="1940" w:hanging="636"/>
        <w:spacing w:after="0"/>
        <w:tabs>
          <w:tab w:leader="none" w:pos="1940" w:val="left"/>
        </w:tabs>
        <w:numPr>
          <w:ilvl w:val="1"/>
          <w:numId w:val="33"/>
        </w:numPr>
        <w:rPr>
          <w:rFonts w:ascii="Arial" w:cs="Arial" w:eastAsia="Arial" w:hAnsi="Arial"/>
          <w:sz w:val="19"/>
          <w:szCs w:val="19"/>
          <w:b w:val="1"/>
          <w:bCs w:val="1"/>
          <w:color w:val="auto"/>
        </w:rPr>
      </w:pPr>
      <w:r>
        <w:rPr>
          <w:rFonts w:ascii="Arial" w:cs="Arial" w:eastAsia="Arial" w:hAnsi="Arial"/>
          <w:sz w:val="19"/>
          <w:szCs w:val="19"/>
          <w:u w:val="single" w:color="auto"/>
          <w:color w:val="auto"/>
        </w:rPr>
        <w:t>Separation from Service, Installments and Reimbursements</w:t>
      </w:r>
      <w:r>
        <w:rPr>
          <w:rFonts w:ascii="Arial" w:cs="Arial" w:eastAsia="Arial" w:hAnsi="Arial"/>
          <w:sz w:val="19"/>
          <w:szCs w:val="19"/>
          <w:color w:val="auto"/>
        </w:rPr>
        <w:t>. Notwithstanding any provision to the contrary</w:t>
      </w:r>
    </w:p>
    <w:p>
      <w:pPr>
        <w:spacing w:after="0" w:line="55" w:lineRule="exact"/>
        <w:rPr>
          <w:rFonts w:ascii="Arial" w:cs="Arial" w:eastAsia="Arial" w:hAnsi="Arial"/>
          <w:sz w:val="19"/>
          <w:szCs w:val="19"/>
          <w:b w:val="1"/>
          <w:bCs w:val="1"/>
          <w:color w:val="auto"/>
        </w:rPr>
      </w:pPr>
    </w:p>
    <w:p>
      <w:pPr>
        <w:jc w:val="both"/>
        <w:spacing w:after="0" w:line="247" w:lineRule="auto"/>
        <w:rPr>
          <w:rFonts w:ascii="Arial" w:cs="Arial" w:eastAsia="Arial" w:hAnsi="Arial"/>
          <w:sz w:val="19"/>
          <w:szCs w:val="19"/>
          <w:b w:val="1"/>
          <w:bCs w:val="1"/>
          <w:color w:val="auto"/>
        </w:rPr>
      </w:pPr>
      <w:r>
        <w:rPr>
          <w:rFonts w:ascii="Arial" w:cs="Arial" w:eastAsia="Arial" w:hAnsi="Arial"/>
          <w:sz w:val="21"/>
          <w:szCs w:val="21"/>
          <w:color w:val="auto"/>
        </w:rPr>
        <w:t>in this Agreement: (i) no amount that constitutes “deferred compensation” under Section 409A shall be payable pursuant to Section 6 unless the termination of Executive’s employment constitutes a “separation from service” within the meaning of Section 1.409A-1(h) of the Department of Treasury Regulations (“</w:t>
      </w:r>
      <w:r>
        <w:rPr>
          <w:rFonts w:ascii="Arial" w:cs="Arial" w:eastAsia="Arial" w:hAnsi="Arial"/>
          <w:sz w:val="21"/>
          <w:szCs w:val="21"/>
          <w:b w:val="1"/>
          <w:bCs w:val="1"/>
          <w:i w:val="1"/>
          <w:iCs w:val="1"/>
          <w:color w:val="auto"/>
        </w:rPr>
        <w:t>Separation from Service</w:t>
      </w:r>
      <w:r>
        <w:rPr>
          <w:rFonts w:ascii="Arial" w:cs="Arial" w:eastAsia="Arial" w:hAnsi="Arial"/>
          <w:sz w:val="21"/>
          <w:szCs w:val="21"/>
          <w:color w:val="auto"/>
        </w:rPr>
        <w:t>”); (ii) for purposes of Section 409A, Executive’s right to receive installment payments shall be treated as a right to receive a series of separate and distinct payments; and (iii) to the extent that any reimbursement of expenses or in-kind benefits constitutes “deferred compensation” under Section 409A, such reimbursement or benefit shall be provided no later than December 31</w:t>
      </w:r>
      <w:r>
        <w:rPr>
          <w:rFonts w:ascii="Arial" w:cs="Arial" w:eastAsia="Arial" w:hAnsi="Arial"/>
          <w:sz w:val="27"/>
          <w:szCs w:val="27"/>
          <w:color w:val="auto"/>
          <w:vertAlign w:val="superscript"/>
        </w:rPr>
        <w:t>st</w:t>
      </w:r>
      <w:r>
        <w:rPr>
          <w:rFonts w:ascii="Arial" w:cs="Arial" w:eastAsia="Arial" w:hAnsi="Arial"/>
          <w:sz w:val="21"/>
          <w:szCs w:val="21"/>
          <w:color w:val="auto"/>
        </w:rPr>
        <w:t xml:space="preserve"> of the year following the year in which the expense was incurred. The amount of expenses reimbursed in one year shall not affect the amount eligible for reimbursement in any subsequent year. The amount of any in-kind benefits provided in one year shall not affect the amount of in-kind benefits provided in any other year.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ectPr>
          <w:pgSz w:w="11900" w:h="16838" w:orient="portrait"/>
          <w:cols w:equalWidth="0" w:num="1">
            <w:col w:w="11240"/>
          </w:cols>
          <w:pgMar w:left="320" w:top="1440" w:right="339" w:bottom="1440" w:gutter="0" w:footer="0" w:header="0"/>
        </w:sectPr>
      </w:pPr>
    </w:p>
    <w:bookmarkStart w:id="61" w:name="page62"/>
    <w:bookmarkEnd w:id="61"/>
    <w:p>
      <w:pPr>
        <w:spacing w:after="0" w:line="204" w:lineRule="exact"/>
        <w:rPr>
          <w:sz w:val="20"/>
          <w:szCs w:val="20"/>
          <w:color w:val="auto"/>
        </w:rPr>
      </w:pPr>
    </w:p>
    <w:p>
      <w:pPr>
        <w:jc w:val="both"/>
        <w:ind w:firstLine="1304"/>
        <w:spacing w:after="0" w:line="259" w:lineRule="auto"/>
        <w:tabs>
          <w:tab w:leader="none" w:pos="1941" w:val="left"/>
        </w:tabs>
        <w:numPr>
          <w:ilvl w:val="0"/>
          <w:numId w:val="34"/>
        </w:numPr>
        <w:rPr>
          <w:rFonts w:ascii="Arial" w:cs="Arial" w:eastAsia="Arial" w:hAnsi="Arial"/>
          <w:sz w:val="21"/>
          <w:szCs w:val="21"/>
          <w:b w:val="1"/>
          <w:bCs w:val="1"/>
          <w:color w:val="auto"/>
        </w:rPr>
      </w:pPr>
      <w:r>
        <w:rPr>
          <w:rFonts w:ascii="Arial" w:cs="Arial" w:eastAsia="Arial" w:hAnsi="Arial"/>
          <w:sz w:val="21"/>
          <w:szCs w:val="21"/>
          <w:u w:val="single" w:color="auto"/>
          <w:color w:val="auto"/>
        </w:rPr>
        <w:t>Specified Employee</w:t>
      </w:r>
      <w:r>
        <w:rPr>
          <w:rFonts w:ascii="Arial" w:cs="Arial" w:eastAsia="Arial" w:hAnsi="Arial"/>
          <w:sz w:val="21"/>
          <w:szCs w:val="21"/>
          <w:color w:val="auto"/>
        </w:rPr>
        <w:t>. Notwithstanding anything in this Agreement to the contrary, if Executive is deemed by the Company at the time of Executive’s Separation from Service to be a “specified employee” for purposes of Section 409A, to the extent delayed commencement of any portion of the benefits to which Executive is entitled under this Agreement is required in order to avoid a prohibited distribution under Section 409A, such portion of Executive’s benefits shall not be provided to Executive prior to the earlier of (i) the expiration of the six-month period measured from the date of Executive’s Separation from Service with the Company or (ii) the date of Executive’s death. Upon the first business day following the expiration of the applicable Section 409A period, all payments deferred pursuant to the preceding sentence shall be paid in a lump sum to Executive (or Executive’s estate or beneficiaries), and any remaining payments due to Executive under this Agreement shall be paid as otherwise provided herein.</w:t>
      </w:r>
    </w:p>
    <w:p>
      <w:pPr>
        <w:spacing w:after="0" w:line="179" w:lineRule="exact"/>
        <w:rPr>
          <w:rFonts w:ascii="Arial" w:cs="Arial" w:eastAsia="Arial" w:hAnsi="Arial"/>
          <w:sz w:val="21"/>
          <w:szCs w:val="21"/>
          <w:b w:val="1"/>
          <w:bCs w:val="1"/>
          <w:color w:val="auto"/>
        </w:rPr>
      </w:pPr>
    </w:p>
    <w:p>
      <w:pPr>
        <w:jc w:val="both"/>
        <w:ind w:firstLine="1304"/>
        <w:spacing w:after="0" w:line="286" w:lineRule="auto"/>
        <w:tabs>
          <w:tab w:leader="none" w:pos="1938" w:val="left"/>
        </w:tabs>
        <w:numPr>
          <w:ilvl w:val="0"/>
          <w:numId w:val="34"/>
        </w:numPr>
        <w:rPr>
          <w:rFonts w:ascii="Arial" w:cs="Arial" w:eastAsia="Arial" w:hAnsi="Arial"/>
          <w:sz w:val="19"/>
          <w:szCs w:val="19"/>
          <w:b w:val="1"/>
          <w:bCs w:val="1"/>
          <w:color w:val="auto"/>
        </w:rPr>
      </w:pPr>
      <w:r>
        <w:rPr>
          <w:rFonts w:ascii="Arial" w:cs="Arial" w:eastAsia="Arial" w:hAnsi="Arial"/>
          <w:sz w:val="19"/>
          <w:szCs w:val="19"/>
          <w:u w:val="single" w:color="auto"/>
          <w:color w:val="auto"/>
        </w:rPr>
        <w:t>Release</w:t>
      </w:r>
      <w:r>
        <w:rPr>
          <w:rFonts w:ascii="Arial" w:cs="Arial" w:eastAsia="Arial" w:hAnsi="Arial"/>
          <w:sz w:val="19"/>
          <w:szCs w:val="19"/>
          <w:color w:val="auto"/>
        </w:rPr>
        <w:t>. Notwithstanding anything to the contrary in this Agreement, to the extent that any payments due under this Agreement as a result of Executive’s termination of employment are subject to Executive’s execution and delivery of the Release, (i) if Executive fails to execute the Release on or prior to the Release Expiration Date (as defined below) or timely revokes Executive’s acceptance of the Release thereafter, Executive shall not be entitled to any payments or benefits otherwise conditioned on the Release, and (ii) in any case where Executive’s Date of Termination and the Release Expiration Date fall in two separate taxable years, any payments required to be made to Executive that are conditioned on the Release and are treated as nonqualified deferred compensation for purposes of Section 409A shall be made in the later taxable year. For purposes of this Section 9(d), “</w:t>
      </w:r>
      <w:r>
        <w:rPr>
          <w:rFonts w:ascii="Arial" w:cs="Arial" w:eastAsia="Arial" w:hAnsi="Arial"/>
          <w:sz w:val="19"/>
          <w:szCs w:val="19"/>
          <w:b w:val="1"/>
          <w:bCs w:val="1"/>
          <w:i w:val="1"/>
          <w:iCs w:val="1"/>
          <w:color w:val="auto"/>
        </w:rPr>
        <w:t>Release Expiration Date</w:t>
      </w:r>
      <w:r>
        <w:rPr>
          <w:rFonts w:ascii="Arial" w:cs="Arial" w:eastAsia="Arial" w:hAnsi="Arial"/>
          <w:sz w:val="19"/>
          <w:szCs w:val="19"/>
          <w:color w:val="auto"/>
        </w:rPr>
        <w:t>” shall mean the date that is twenty-one (21) days following the date upon which the Company timely delivers the Release to Executive, or, in the event that Executive’s termination of employment is “in connection with an exit incentive or other employment termination program” (as such phrase is defined in the Age Discrimination in Employment Act of 1967), the date that is forty-five (45) days following such delivery date. To the extent that any payments of nonqualified deferred compensation (within the meaning of Section 409A) due under this Agreement as a result of Executive’s termination of employment are delayed pursuant to this Section 9(d), such amounts shall be paid in a lump sum on the first payroll date following the date that Executive executes and does not revoke the Release (and the applicable revocation period has expired) or, in the case of any payments subject to Section 9(d)(ii), on the first payroll period to occur in the subsequent taxable year, if later.</w:t>
      </w:r>
    </w:p>
    <w:p>
      <w:pPr>
        <w:spacing w:after="0" w:line="200" w:lineRule="exact"/>
        <w:rPr>
          <w:sz w:val="20"/>
          <w:szCs w:val="20"/>
          <w:color w:val="auto"/>
        </w:rPr>
      </w:pPr>
    </w:p>
    <w:p>
      <w:pPr>
        <w:spacing w:after="0" w:line="209" w:lineRule="exact"/>
        <w:rPr>
          <w:sz w:val="20"/>
          <w:szCs w:val="20"/>
          <w:color w:val="auto"/>
        </w:rPr>
      </w:pPr>
    </w:p>
    <w:p>
      <w:pPr>
        <w:jc w:val="both"/>
        <w:ind w:firstLine="656"/>
        <w:spacing w:after="0" w:line="315" w:lineRule="auto"/>
        <w:tabs>
          <w:tab w:leader="none" w:pos="1296" w:val="left"/>
        </w:tabs>
        <w:numPr>
          <w:ilvl w:val="0"/>
          <w:numId w:val="35"/>
        </w:numPr>
        <w:rPr>
          <w:rFonts w:ascii="Arial" w:cs="Arial" w:eastAsia="Arial" w:hAnsi="Arial"/>
          <w:sz w:val="19"/>
          <w:szCs w:val="19"/>
          <w:b w:val="1"/>
          <w:bCs w:val="1"/>
          <w:color w:val="auto"/>
        </w:rPr>
      </w:pPr>
      <w:r>
        <w:rPr>
          <w:rFonts w:ascii="Arial" w:cs="Arial" w:eastAsia="Arial" w:hAnsi="Arial"/>
          <w:sz w:val="19"/>
          <w:szCs w:val="19"/>
          <w:b w:val="1"/>
          <w:bCs w:val="1"/>
          <w:color w:val="auto"/>
        </w:rPr>
        <w:t>Employee Acknowledgement</w:t>
      </w:r>
      <w:r>
        <w:rPr>
          <w:rFonts w:ascii="Arial" w:cs="Arial" w:eastAsia="Arial" w:hAnsi="Arial"/>
          <w:sz w:val="19"/>
          <w:szCs w:val="19"/>
          <w:color w:val="auto"/>
        </w:rPr>
        <w:t>. Executive acknowledges that Executive has read and understands this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is fully aware of its legal effect, has not acted in reliance upon any representations or promises made by the Company other than those contained in writing herein, and has entered into this Agreement freely based on Executive’s own judgment.</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ectPr>
          <w:pgSz w:w="11900" w:h="16838" w:orient="portrait"/>
          <w:cols w:equalWidth="0" w:num="1">
            <w:col w:w="11240"/>
          </w:cols>
          <w:pgMar w:left="320" w:top="1440" w:right="339" w:bottom="1440" w:gutter="0" w:footer="0" w:header="0"/>
        </w:sectPr>
      </w:pPr>
    </w:p>
    <w:bookmarkStart w:id="62" w:name="page63"/>
    <w:bookmarkEnd w:id="62"/>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9"/>
          <w:szCs w:val="19"/>
          <w:color w:val="auto"/>
        </w:rPr>
        <w:t>The Parties have executed this Agreement as of the date first set forth above.</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OUSTER, INC.</w:t>
      </w:r>
    </w:p>
    <w:p>
      <w:pPr>
        <w:spacing w:after="0" w:line="200" w:lineRule="exact"/>
        <w:rPr>
          <w:sz w:val="20"/>
          <w:szCs w:val="20"/>
          <w:color w:val="auto"/>
        </w:rPr>
      </w:pPr>
    </w:p>
    <w:p>
      <w:pPr>
        <w:spacing w:after="0" w:line="35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Angus Pacala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-17780</wp:posOffset>
            </wp:positionV>
            <wp:extent cx="105156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1051560" cy="8890"/>
                    </a:xfrm>
                    <a:prstGeom prst="rect">
                      <a:avLst/>
                    </a:prstGeom>
                    <a:noFill/>
                  </pic:spPr>
                </pic:pic>
              </a:graphicData>
            </a:graphic>
          </wp:anchor>
        </w:drawing>
      </w:r>
    </w:p>
    <w:p>
      <w:pPr>
        <w:spacing w:after="0" w:line="20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Angus Pacala</w:t>
      </w:r>
    </w:p>
    <w:p>
      <w:pPr>
        <w:spacing w:after="0" w:line="22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CEO</w:t>
      </w:r>
    </w:p>
    <w:p>
      <w:pPr>
        <w:spacing w:after="0" w:line="200" w:lineRule="exact"/>
        <w:rPr>
          <w:sz w:val="20"/>
          <w:szCs w:val="20"/>
          <w:color w:val="auto"/>
        </w:rPr>
      </w:pPr>
    </w:p>
    <w:p>
      <w:pPr>
        <w:spacing w:after="0" w:line="338"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EXECUTIVE</w:t>
      </w:r>
    </w:p>
    <w:p>
      <w:pPr>
        <w:spacing w:after="0" w:line="200" w:lineRule="exact"/>
        <w:rPr>
          <w:sz w:val="20"/>
          <w:szCs w:val="20"/>
          <w:color w:val="auto"/>
        </w:rPr>
      </w:pPr>
    </w:p>
    <w:p>
      <w:pPr>
        <w:spacing w:after="0" w:line="35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Nathan Dickerman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-17780</wp:posOffset>
            </wp:positionV>
            <wp:extent cx="134048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1340485" cy="8255"/>
                    </a:xfrm>
                    <a:prstGeom prst="rect">
                      <a:avLst/>
                    </a:prstGeom>
                    <a:noFill/>
                  </pic:spPr>
                </pic:pic>
              </a:graphicData>
            </a:graphic>
          </wp:anchor>
        </w:drawing>
      </w:r>
    </w:p>
    <w:p>
      <w:pPr>
        <w:spacing w:after="0" w:line="20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Nathan Dickerman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ectPr>
          <w:pgSz w:w="11900" w:h="16838" w:orient="portrait"/>
          <w:cols w:equalWidth="0" w:num="1">
            <w:col w:w="10139"/>
          </w:cols>
          <w:pgMar w:left="320" w:top="1440" w:right="1440"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Angus Pacala, certify that:</w:t>
      </w:r>
    </w:p>
    <w:p>
      <w:pPr>
        <w:spacing w:after="0" w:line="306" w:lineRule="exact"/>
        <w:rPr>
          <w:sz w:val="20"/>
          <w:szCs w:val="20"/>
          <w:color w:val="auto"/>
        </w:rPr>
      </w:pPr>
    </w:p>
    <w:p>
      <w:pPr>
        <w:ind w:left="540" w:hanging="514"/>
        <w:spacing w:after="0"/>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Ouster, Inc.;</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jc w:val="both"/>
        <w:ind w:left="540" w:right="240" w:hanging="514"/>
        <w:spacing w:after="0" w:line="263"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0" w:lineRule="exact"/>
        <w:rPr>
          <w:rFonts w:ascii="Arial" w:cs="Arial" w:eastAsia="Arial" w:hAnsi="Arial"/>
          <w:sz w:val="18"/>
          <w:szCs w:val="18"/>
          <w:color w:val="auto"/>
        </w:rPr>
      </w:pPr>
    </w:p>
    <w:p>
      <w:pPr>
        <w:spacing w:after="0" w:line="280" w:lineRule="exact"/>
        <w:rPr>
          <w:rFonts w:ascii="Arial" w:cs="Arial" w:eastAsia="Arial" w:hAnsi="Arial"/>
          <w:sz w:val="18"/>
          <w:szCs w:val="18"/>
          <w:color w:val="auto"/>
        </w:rPr>
      </w:pPr>
    </w:p>
    <w:p>
      <w:pPr>
        <w:ind w:left="540" w:right="200" w:hanging="514"/>
        <w:spacing w:after="0" w:line="308" w:lineRule="auto"/>
        <w:tabs>
          <w:tab w:leader="none" w:pos="5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0" w:lineRule="exact"/>
        <w:rPr>
          <w:rFonts w:ascii="Arial" w:cs="Arial" w:eastAsia="Arial" w:hAnsi="Arial"/>
          <w:sz w:val="17"/>
          <w:szCs w:val="17"/>
          <w:color w:val="auto"/>
        </w:rPr>
      </w:pPr>
    </w:p>
    <w:p>
      <w:pPr>
        <w:spacing w:after="0" w:line="256" w:lineRule="exact"/>
        <w:rPr>
          <w:rFonts w:ascii="Arial" w:cs="Arial" w:eastAsia="Arial" w:hAnsi="Arial"/>
          <w:sz w:val="17"/>
          <w:szCs w:val="17"/>
          <w:color w:val="auto"/>
        </w:rPr>
      </w:pPr>
    </w:p>
    <w:p>
      <w:pPr>
        <w:ind w:left="540" w:right="220" w:hanging="514"/>
        <w:spacing w:after="0" w:line="263"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8"/>
          <w:szCs w:val="18"/>
          <w:color w:val="auto"/>
        </w:rPr>
      </w:pPr>
    </w:p>
    <w:p>
      <w:pPr>
        <w:spacing w:after="0" w:line="294" w:lineRule="exact"/>
        <w:rPr>
          <w:rFonts w:ascii="Arial" w:cs="Arial" w:eastAsia="Arial" w:hAnsi="Arial"/>
          <w:sz w:val="18"/>
          <w:szCs w:val="18"/>
          <w:color w:val="auto"/>
        </w:rPr>
      </w:pPr>
    </w:p>
    <w:p>
      <w:pPr>
        <w:ind w:left="1060" w:right="160" w:hanging="521"/>
        <w:spacing w:after="0" w:line="263" w:lineRule="auto"/>
        <w:tabs>
          <w:tab w:leader="none" w:pos="10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0" w:lineRule="exact"/>
        <w:rPr>
          <w:rFonts w:ascii="Arial" w:cs="Arial" w:eastAsia="Arial" w:hAnsi="Arial"/>
          <w:sz w:val="18"/>
          <w:szCs w:val="18"/>
          <w:color w:val="auto"/>
        </w:rPr>
      </w:pPr>
    </w:p>
    <w:p>
      <w:pPr>
        <w:spacing w:after="0" w:line="280" w:lineRule="exact"/>
        <w:rPr>
          <w:rFonts w:ascii="Arial" w:cs="Arial" w:eastAsia="Arial" w:hAnsi="Arial"/>
          <w:sz w:val="18"/>
          <w:szCs w:val="18"/>
          <w:color w:val="auto"/>
        </w:rPr>
      </w:pPr>
    </w:p>
    <w:p>
      <w:pPr>
        <w:ind w:left="1060" w:right="280" w:hanging="521"/>
        <w:spacing w:after="0" w:line="263" w:lineRule="auto"/>
        <w:tabs>
          <w:tab w:leader="none" w:pos="10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0" w:lineRule="exact"/>
        <w:rPr>
          <w:rFonts w:ascii="Arial" w:cs="Arial" w:eastAsia="Arial" w:hAnsi="Arial"/>
          <w:sz w:val="18"/>
          <w:szCs w:val="18"/>
          <w:color w:val="auto"/>
        </w:rPr>
      </w:pPr>
    </w:p>
    <w:p>
      <w:pPr>
        <w:spacing w:after="0" w:line="294" w:lineRule="exact"/>
        <w:rPr>
          <w:rFonts w:ascii="Arial" w:cs="Arial" w:eastAsia="Arial" w:hAnsi="Arial"/>
          <w:sz w:val="18"/>
          <w:szCs w:val="18"/>
          <w:color w:val="auto"/>
        </w:rPr>
      </w:pPr>
    </w:p>
    <w:p>
      <w:pPr>
        <w:jc w:val="both"/>
        <w:ind w:left="1060" w:right="440" w:hanging="521"/>
        <w:spacing w:after="0" w:line="342" w:lineRule="auto"/>
        <w:tabs>
          <w:tab w:leader="none" w:pos="1060"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0" w:lineRule="exact"/>
        <w:rPr>
          <w:rFonts w:ascii="Arial" w:cs="Arial" w:eastAsia="Arial" w:hAnsi="Arial"/>
          <w:sz w:val="16"/>
          <w:szCs w:val="16"/>
          <w:color w:val="auto"/>
        </w:rPr>
      </w:pPr>
    </w:p>
    <w:p>
      <w:pPr>
        <w:spacing w:after="0" w:line="234" w:lineRule="exact"/>
        <w:rPr>
          <w:rFonts w:ascii="Arial" w:cs="Arial" w:eastAsia="Arial" w:hAnsi="Arial"/>
          <w:sz w:val="16"/>
          <w:szCs w:val="16"/>
          <w:color w:val="auto"/>
        </w:rPr>
      </w:pPr>
    </w:p>
    <w:p>
      <w:pPr>
        <w:ind w:left="1060" w:right="160" w:hanging="521"/>
        <w:spacing w:after="0" w:line="263" w:lineRule="auto"/>
        <w:tabs>
          <w:tab w:leader="none" w:pos="10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80" w:lineRule="exact"/>
        <w:rPr>
          <w:rFonts w:ascii="Arial" w:cs="Arial" w:eastAsia="Arial" w:hAnsi="Arial"/>
          <w:sz w:val="18"/>
          <w:szCs w:val="18"/>
          <w:color w:val="auto"/>
        </w:rPr>
      </w:pPr>
    </w:p>
    <w:p>
      <w:pPr>
        <w:ind w:left="540" w:right="120" w:hanging="514"/>
        <w:spacing w:after="0" w:line="308" w:lineRule="auto"/>
        <w:tabs>
          <w:tab w:leader="none" w:pos="5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ectPr>
          <w:pgSz w:w="11900" w:h="16838" w:orient="portrait"/>
          <w:cols w:equalWidth="0" w:num="1">
            <w:col w:w="11240"/>
          </w:cols>
          <w:pgMar w:left="320" w:top="1417" w:right="339" w:bottom="1440" w:gutter="0" w:footer="0" w:header="0"/>
        </w:sectPr>
      </w:pPr>
    </w:p>
    <w:bookmarkStart w:id="64" w:name="page65"/>
    <w:bookmarkEnd w:id="64"/>
    <w:p>
      <w:pPr>
        <w:spacing w:after="0" w:line="279" w:lineRule="exact"/>
        <w:rPr>
          <w:sz w:val="20"/>
          <w:szCs w:val="20"/>
          <w:color w:val="auto"/>
        </w:rPr>
      </w:pPr>
    </w:p>
    <w:p>
      <w:pPr>
        <w:ind w:left="1040" w:right="320" w:hanging="521"/>
        <w:spacing w:after="0" w:line="342" w:lineRule="auto"/>
        <w:tabs>
          <w:tab w:leader="none" w:pos="10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0" w:lineRule="exact"/>
        <w:rPr>
          <w:rFonts w:ascii="Arial" w:cs="Arial" w:eastAsia="Arial" w:hAnsi="Arial"/>
          <w:sz w:val="16"/>
          <w:szCs w:val="16"/>
          <w:color w:val="auto"/>
        </w:rPr>
      </w:pPr>
    </w:p>
    <w:p>
      <w:pPr>
        <w:spacing w:after="0" w:line="234" w:lineRule="exact"/>
        <w:rPr>
          <w:rFonts w:ascii="Arial" w:cs="Arial" w:eastAsia="Arial" w:hAnsi="Arial"/>
          <w:sz w:val="16"/>
          <w:szCs w:val="16"/>
          <w:color w:val="auto"/>
        </w:rPr>
      </w:pPr>
    </w:p>
    <w:p>
      <w:pPr>
        <w:ind w:left="1040" w:hanging="521"/>
        <w:spacing w:after="0" w:line="277"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tabs>
          <w:tab w:leader="none" w:pos="5200" w:val="left"/>
          <w:tab w:leader="none" w:pos="5880" w:val="left"/>
        </w:tabs>
        <w:rPr>
          <w:sz w:val="20"/>
          <w:szCs w:val="20"/>
          <w:color w:val="auto"/>
        </w:rPr>
      </w:pPr>
      <w:r>
        <w:rPr>
          <w:rFonts w:ascii="Arial" w:cs="Arial" w:eastAsia="Arial" w:hAnsi="Arial"/>
          <w:sz w:val="18"/>
          <w:szCs w:val="18"/>
          <w:color w:val="auto"/>
        </w:rPr>
        <w:t>Date: August 9,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Angus Pacala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3738245</wp:posOffset>
            </wp:positionH>
            <wp:positionV relativeFrom="paragraph">
              <wp:posOffset>31750</wp:posOffset>
            </wp:positionV>
            <wp:extent cx="33858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5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Angus Pacala</w:t>
      </w:r>
    </w:p>
    <w:p>
      <w:pPr>
        <w:spacing w:after="0" w:line="6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Co-Founder and Chief Executive Officer</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0840"/>
          </w:cols>
          <w:pgMar w:left="340" w:top="1440" w:right="71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Anna Brunelle, certify that:</w:t>
      </w:r>
    </w:p>
    <w:p>
      <w:pPr>
        <w:spacing w:after="0" w:line="306" w:lineRule="exact"/>
        <w:rPr>
          <w:sz w:val="20"/>
          <w:szCs w:val="20"/>
          <w:color w:val="auto"/>
        </w:rPr>
      </w:pPr>
    </w:p>
    <w:p>
      <w:pPr>
        <w:ind w:left="540" w:hanging="514"/>
        <w:spacing w:after="0"/>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Ouster, Inc.;</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jc w:val="both"/>
        <w:ind w:left="540" w:right="240" w:hanging="514"/>
        <w:spacing w:after="0" w:line="263" w:lineRule="auto"/>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0" w:lineRule="exact"/>
        <w:rPr>
          <w:rFonts w:ascii="Arial" w:cs="Arial" w:eastAsia="Arial" w:hAnsi="Arial"/>
          <w:sz w:val="18"/>
          <w:szCs w:val="18"/>
          <w:color w:val="auto"/>
        </w:rPr>
      </w:pPr>
    </w:p>
    <w:p>
      <w:pPr>
        <w:spacing w:after="0" w:line="280" w:lineRule="exact"/>
        <w:rPr>
          <w:rFonts w:ascii="Arial" w:cs="Arial" w:eastAsia="Arial" w:hAnsi="Arial"/>
          <w:sz w:val="18"/>
          <w:szCs w:val="18"/>
          <w:color w:val="auto"/>
        </w:rPr>
      </w:pPr>
    </w:p>
    <w:p>
      <w:pPr>
        <w:ind w:left="540" w:right="200" w:hanging="514"/>
        <w:spacing w:after="0" w:line="308" w:lineRule="auto"/>
        <w:tabs>
          <w:tab w:leader="none" w:pos="5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0" w:lineRule="exact"/>
        <w:rPr>
          <w:rFonts w:ascii="Arial" w:cs="Arial" w:eastAsia="Arial" w:hAnsi="Arial"/>
          <w:sz w:val="17"/>
          <w:szCs w:val="17"/>
          <w:color w:val="auto"/>
        </w:rPr>
      </w:pPr>
    </w:p>
    <w:p>
      <w:pPr>
        <w:spacing w:after="0" w:line="256" w:lineRule="exact"/>
        <w:rPr>
          <w:rFonts w:ascii="Arial" w:cs="Arial" w:eastAsia="Arial" w:hAnsi="Arial"/>
          <w:sz w:val="17"/>
          <w:szCs w:val="17"/>
          <w:color w:val="auto"/>
        </w:rPr>
      </w:pPr>
    </w:p>
    <w:p>
      <w:pPr>
        <w:ind w:left="540" w:right="220" w:hanging="514"/>
        <w:spacing w:after="0" w:line="263" w:lineRule="auto"/>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8"/>
          <w:szCs w:val="18"/>
          <w:color w:val="auto"/>
        </w:rPr>
      </w:pPr>
    </w:p>
    <w:p>
      <w:pPr>
        <w:spacing w:after="0" w:line="294" w:lineRule="exact"/>
        <w:rPr>
          <w:rFonts w:ascii="Arial" w:cs="Arial" w:eastAsia="Arial" w:hAnsi="Arial"/>
          <w:sz w:val="18"/>
          <w:szCs w:val="18"/>
          <w:color w:val="auto"/>
        </w:rPr>
      </w:pPr>
    </w:p>
    <w:p>
      <w:pPr>
        <w:ind w:left="1060" w:right="160" w:hanging="521"/>
        <w:spacing w:after="0" w:line="263" w:lineRule="auto"/>
        <w:tabs>
          <w:tab w:leader="none" w:pos="10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0" w:lineRule="exact"/>
        <w:rPr>
          <w:rFonts w:ascii="Arial" w:cs="Arial" w:eastAsia="Arial" w:hAnsi="Arial"/>
          <w:sz w:val="18"/>
          <w:szCs w:val="18"/>
          <w:color w:val="auto"/>
        </w:rPr>
      </w:pPr>
    </w:p>
    <w:p>
      <w:pPr>
        <w:spacing w:after="0" w:line="280" w:lineRule="exact"/>
        <w:rPr>
          <w:rFonts w:ascii="Arial" w:cs="Arial" w:eastAsia="Arial" w:hAnsi="Arial"/>
          <w:sz w:val="18"/>
          <w:szCs w:val="18"/>
          <w:color w:val="auto"/>
        </w:rPr>
      </w:pPr>
    </w:p>
    <w:p>
      <w:pPr>
        <w:ind w:left="1060" w:right="280" w:hanging="521"/>
        <w:spacing w:after="0" w:line="263" w:lineRule="auto"/>
        <w:tabs>
          <w:tab w:leader="none" w:pos="10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0" w:lineRule="exact"/>
        <w:rPr>
          <w:rFonts w:ascii="Arial" w:cs="Arial" w:eastAsia="Arial" w:hAnsi="Arial"/>
          <w:sz w:val="18"/>
          <w:szCs w:val="18"/>
          <w:color w:val="auto"/>
        </w:rPr>
      </w:pPr>
    </w:p>
    <w:p>
      <w:pPr>
        <w:spacing w:after="0" w:line="294" w:lineRule="exact"/>
        <w:rPr>
          <w:rFonts w:ascii="Arial" w:cs="Arial" w:eastAsia="Arial" w:hAnsi="Arial"/>
          <w:sz w:val="18"/>
          <w:szCs w:val="18"/>
          <w:color w:val="auto"/>
        </w:rPr>
      </w:pPr>
    </w:p>
    <w:p>
      <w:pPr>
        <w:jc w:val="both"/>
        <w:ind w:left="1060" w:right="440" w:hanging="521"/>
        <w:spacing w:after="0" w:line="342" w:lineRule="auto"/>
        <w:tabs>
          <w:tab w:leader="none" w:pos="1060"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0" w:lineRule="exact"/>
        <w:rPr>
          <w:rFonts w:ascii="Arial" w:cs="Arial" w:eastAsia="Arial" w:hAnsi="Arial"/>
          <w:sz w:val="16"/>
          <w:szCs w:val="16"/>
          <w:color w:val="auto"/>
        </w:rPr>
      </w:pPr>
    </w:p>
    <w:p>
      <w:pPr>
        <w:spacing w:after="0" w:line="234" w:lineRule="exact"/>
        <w:rPr>
          <w:rFonts w:ascii="Arial" w:cs="Arial" w:eastAsia="Arial" w:hAnsi="Arial"/>
          <w:sz w:val="16"/>
          <w:szCs w:val="16"/>
          <w:color w:val="auto"/>
        </w:rPr>
      </w:pPr>
    </w:p>
    <w:p>
      <w:pPr>
        <w:ind w:left="1060" w:right="160" w:hanging="521"/>
        <w:spacing w:after="0" w:line="263" w:lineRule="auto"/>
        <w:tabs>
          <w:tab w:leader="none" w:pos="10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80" w:lineRule="exact"/>
        <w:rPr>
          <w:rFonts w:ascii="Arial" w:cs="Arial" w:eastAsia="Arial" w:hAnsi="Arial"/>
          <w:sz w:val="18"/>
          <w:szCs w:val="18"/>
          <w:color w:val="auto"/>
        </w:rPr>
      </w:pPr>
    </w:p>
    <w:p>
      <w:pPr>
        <w:ind w:left="540" w:right="120" w:hanging="514"/>
        <w:spacing w:after="0" w:line="308" w:lineRule="auto"/>
        <w:tabs>
          <w:tab w:leader="none" w:pos="5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ectPr>
          <w:pgSz w:w="11900" w:h="16838" w:orient="portrait"/>
          <w:cols w:equalWidth="0" w:num="1">
            <w:col w:w="11240"/>
          </w:cols>
          <w:pgMar w:left="320" w:top="1417" w:right="339" w:bottom="1440" w:gutter="0" w:footer="0" w:header="0"/>
        </w:sectPr>
      </w:pPr>
    </w:p>
    <w:bookmarkStart w:id="66" w:name="page67"/>
    <w:bookmarkEnd w:id="66"/>
    <w:p>
      <w:pPr>
        <w:spacing w:after="0" w:line="279" w:lineRule="exact"/>
        <w:rPr>
          <w:sz w:val="20"/>
          <w:szCs w:val="20"/>
          <w:color w:val="auto"/>
        </w:rPr>
      </w:pPr>
    </w:p>
    <w:p>
      <w:pPr>
        <w:ind w:left="1040" w:right="320" w:hanging="521"/>
        <w:spacing w:after="0" w:line="342" w:lineRule="auto"/>
        <w:tabs>
          <w:tab w:leader="none" w:pos="10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0" w:lineRule="exact"/>
        <w:rPr>
          <w:rFonts w:ascii="Arial" w:cs="Arial" w:eastAsia="Arial" w:hAnsi="Arial"/>
          <w:sz w:val="16"/>
          <w:szCs w:val="16"/>
          <w:color w:val="auto"/>
        </w:rPr>
      </w:pPr>
    </w:p>
    <w:p>
      <w:pPr>
        <w:spacing w:after="0" w:line="234" w:lineRule="exact"/>
        <w:rPr>
          <w:rFonts w:ascii="Arial" w:cs="Arial" w:eastAsia="Arial" w:hAnsi="Arial"/>
          <w:sz w:val="16"/>
          <w:szCs w:val="16"/>
          <w:color w:val="auto"/>
        </w:rPr>
      </w:pPr>
    </w:p>
    <w:p>
      <w:pPr>
        <w:ind w:left="1040" w:hanging="521"/>
        <w:spacing w:after="0" w:line="277"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tabs>
          <w:tab w:leader="none" w:pos="5200" w:val="left"/>
          <w:tab w:leader="none" w:pos="5880" w:val="left"/>
        </w:tabs>
        <w:rPr>
          <w:sz w:val="20"/>
          <w:szCs w:val="20"/>
          <w:color w:val="auto"/>
        </w:rPr>
      </w:pPr>
      <w:r>
        <w:rPr>
          <w:rFonts w:ascii="Arial" w:cs="Arial" w:eastAsia="Arial" w:hAnsi="Arial"/>
          <w:sz w:val="18"/>
          <w:szCs w:val="18"/>
          <w:color w:val="auto"/>
        </w:rPr>
        <w:t>Date: August 9,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Anna Brunelle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3738245</wp:posOffset>
            </wp:positionH>
            <wp:positionV relativeFrom="paragraph">
              <wp:posOffset>31750</wp:posOffset>
            </wp:positionV>
            <wp:extent cx="33858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5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Anna Brunelle</w:t>
      </w:r>
    </w:p>
    <w:p>
      <w:pPr>
        <w:spacing w:after="0" w:line="6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p>
      <w:pPr>
        <w:sectPr>
          <w:pgSz w:w="11900" w:h="16838" w:orient="portrait"/>
          <w:cols w:equalWidth="0" w:num="1">
            <w:col w:w="10840"/>
          </w:cols>
          <w:pgMar w:left="340" w:top="1440" w:right="719" w:bottom="1440" w:gutter="0" w:footer="0" w:header="0"/>
        </w:sectPr>
      </w:pPr>
    </w:p>
    <w:bookmarkStart w:id="67" w:name="page68"/>
    <w:bookmarkEnd w:id="67"/>
    <w:p>
      <w:pPr>
        <w:spacing w:after="0" w:line="19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7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connection with the Quarterly Report on Form 10-Q of Ouster, Inc. (the “Company”) for the period ended June 30, 2021 as filed with the Securities and Exchange Commission on the date hereof (the “Report”), I certify, pursuant to 18 U.S.C. § 1350, as adopted pursuant to § 906 of the Sarbanes-Oxley Act of 2002, that:</w:t>
      </w:r>
    </w:p>
    <w:p>
      <w:pPr>
        <w:spacing w:after="0" w:line="265" w:lineRule="exact"/>
        <w:rPr>
          <w:sz w:val="20"/>
          <w:szCs w:val="20"/>
          <w:color w:val="auto"/>
        </w:rPr>
      </w:pPr>
    </w:p>
    <w:p>
      <w:pPr>
        <w:ind w:left="1060" w:hanging="521"/>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92" w:lineRule="exact"/>
        <w:rPr>
          <w:rFonts w:ascii="Arial" w:cs="Arial" w:eastAsia="Arial" w:hAnsi="Arial"/>
          <w:sz w:val="18"/>
          <w:szCs w:val="18"/>
          <w:color w:val="auto"/>
        </w:rPr>
      </w:pPr>
    </w:p>
    <w:p>
      <w:pPr>
        <w:ind w:left="1060" w:right="520" w:hanging="521"/>
        <w:spacing w:after="0" w:line="277" w:lineRule="auto"/>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0"/>
        <w:spacing w:after="0"/>
        <w:tabs>
          <w:tab w:leader="none" w:pos="5220" w:val="left"/>
          <w:tab w:leader="none" w:pos="5900" w:val="left"/>
        </w:tabs>
        <w:rPr>
          <w:sz w:val="20"/>
          <w:szCs w:val="20"/>
          <w:color w:val="auto"/>
        </w:rPr>
      </w:pPr>
      <w:r>
        <w:rPr>
          <w:rFonts w:ascii="Arial" w:cs="Arial" w:eastAsia="Arial" w:hAnsi="Arial"/>
          <w:sz w:val="18"/>
          <w:szCs w:val="18"/>
          <w:color w:val="auto"/>
        </w:rPr>
        <w:t>Date: August 9,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Angus Pacala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31750</wp:posOffset>
            </wp:positionV>
            <wp:extent cx="33858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57"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Angus Pacala</w:t>
      </w:r>
    </w:p>
    <w:p>
      <w:pPr>
        <w:spacing w:after="0" w:line="6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Co-Founder and Chief Executive Officer</w:t>
      </w:r>
    </w:p>
    <w:p>
      <w:pPr>
        <w:spacing w:after="0" w:line="2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p>
      <w:pPr>
        <w:sectPr>
          <w:pgSz w:w="11900" w:h="16838" w:orient="portrait"/>
          <w:cols w:equalWidth="0" w:num="1">
            <w:col w:w="11240"/>
          </w:cols>
          <w:pgMar w:left="320" w:top="1440"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7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connection with the Quarterly Report on Form 10-Q of Ouster, Inc. (the “Company”) for the period ended June 30, 2021 as filed with the Securities and Exchange Commission on the date hereof (the “Report”), I certify, pursuant to 18 U.S.C. § 1350, as adopted pursuant to § 906 of the Sarbanes-Oxley Act of 2002, that:</w:t>
      </w:r>
    </w:p>
    <w:p>
      <w:pPr>
        <w:spacing w:after="0" w:line="265" w:lineRule="exact"/>
        <w:rPr>
          <w:sz w:val="20"/>
          <w:szCs w:val="20"/>
          <w:color w:val="auto"/>
        </w:rPr>
      </w:pPr>
    </w:p>
    <w:p>
      <w:pPr>
        <w:ind w:left="1060" w:hanging="521"/>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92" w:lineRule="exact"/>
        <w:rPr>
          <w:rFonts w:ascii="Arial" w:cs="Arial" w:eastAsia="Arial" w:hAnsi="Arial"/>
          <w:sz w:val="18"/>
          <w:szCs w:val="18"/>
          <w:color w:val="auto"/>
        </w:rPr>
      </w:pPr>
    </w:p>
    <w:p>
      <w:pPr>
        <w:ind w:left="1060" w:right="520" w:hanging="521"/>
        <w:spacing w:after="0" w:line="277" w:lineRule="auto"/>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0"/>
        <w:spacing w:after="0"/>
        <w:tabs>
          <w:tab w:leader="none" w:pos="5220" w:val="left"/>
          <w:tab w:leader="none" w:pos="5900" w:val="left"/>
        </w:tabs>
        <w:rPr>
          <w:sz w:val="20"/>
          <w:szCs w:val="20"/>
          <w:color w:val="auto"/>
        </w:rPr>
      </w:pPr>
      <w:r>
        <w:rPr>
          <w:rFonts w:ascii="Arial" w:cs="Arial" w:eastAsia="Arial" w:hAnsi="Arial"/>
          <w:sz w:val="18"/>
          <w:szCs w:val="18"/>
          <w:color w:val="auto"/>
        </w:rPr>
        <w:t>Date: August 9,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Anna Brunelle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31750</wp:posOffset>
            </wp:positionV>
            <wp:extent cx="33858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57"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Anna Brunelle</w:t>
      </w:r>
    </w:p>
    <w:p>
      <w:pPr>
        <w:spacing w:after="0" w:line="6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p>
    <w:sectPr>
      <w:pgSz w:w="11900" w:h="16838" w:orient="portrait"/>
      <w:cols w:equalWidth="0" w:num="1">
        <w:col w:w="11240"/>
      </w:cols>
      <w:pgMar w:left="320" w:top="14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1)"/>
      <w:numFmt w:val="decimal"/>
      <w:start w:val="1"/>
    </w:lvl>
  </w:abstractNum>
  <w:abstractNum w:abstractNumId="3">
    <w:nsid w:val="2443A858"/>
    <w:multiLevelType w:val="hybridMultilevel"/>
    <w:lvl w:ilvl="0">
      <w:lvlJc w:val="left"/>
      <w:lvlText w:val="(%1)"/>
      <w:numFmt w:val="decimal"/>
      <w:start w:val="1"/>
    </w:lvl>
  </w:abstractNum>
  <w:abstractNum w:abstractNumId="4">
    <w:nsid w:val="2D1D5AE9"/>
    <w:multiLevelType w:val="hybridMultilevel"/>
    <w:lvl w:ilvl="0">
      <w:lvlJc w:val="left"/>
      <w:lvlText w:val="(%1)"/>
      <w:numFmt w:val="decimal"/>
      <w:start w:val="2"/>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1."/>
      <w:numFmt w:val="decimal"/>
      <w:start w:val="1"/>
    </w:lvl>
    <w:lvl w:ilvl="1">
      <w:lvlJc w:val="left"/>
      <w:lvlText w:val="(%2)"/>
      <w:numFmt w:val="lowerLetter"/>
      <w:start w:val="1"/>
    </w:lvl>
  </w:abstractNum>
  <w:abstractNum w:abstractNumId="13">
    <w:nsid w:val="71F32454"/>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abstractNum>
  <w:abstractNum w:abstractNumId="14">
    <w:nsid w:val="2CA88611"/>
    <w:multiLevelType w:val="hybridMultilevel"/>
    <w:lvl w:ilvl="0">
      <w:lvlJc w:val="left"/>
      <w:lvlText w:val="(%1)"/>
      <w:numFmt w:val="lowerLetter"/>
      <w:start w:val="35"/>
    </w:lvl>
    <w:lvl w:ilvl="1">
      <w:lvlJc w:val="left"/>
      <w:lvlText w:val="%2."/>
      <w:numFmt w:val="decimal"/>
      <w:start w:val="2"/>
    </w:lvl>
    <w:lvl w:ilvl="2">
      <w:lvlJc w:val="left"/>
      <w:lvlText w:val="(%3)"/>
      <w:numFmt w:val="lowerLetter"/>
      <w:start w:val="1"/>
    </w:lvl>
  </w:abstractNum>
  <w:abstractNum w:abstractNumId="15">
    <w:nsid w:val="836C40E"/>
    <w:multiLevelType w:val="hybridMultilevel"/>
    <w:lvl w:ilvl="0">
      <w:lvlJc w:val="left"/>
      <w:lvlText w:val="%1"/>
      <w:numFmt w:val="decimal"/>
      <w:start w:val="1"/>
    </w:lvl>
    <w:lvl w:ilvl="1">
      <w:lvlJc w:val="left"/>
      <w:lvlText w:val="(%2)"/>
      <w:numFmt w:val="lowerLetter"/>
      <w:start w:val="3"/>
    </w:lvl>
  </w:abstractNum>
  <w:abstractNum w:abstractNumId="16">
    <w:nsid w:val="2901D82"/>
    <w:multiLevelType w:val="hybridMultilevel"/>
    <w:lvl w:ilvl="0">
      <w:lvlJc w:val="left"/>
      <w:lvlText w:val="%1."/>
      <w:numFmt w:val="decimal"/>
      <w:start w:val="4"/>
    </w:lvl>
    <w:lvl w:ilvl="1">
      <w:lvlJc w:val="left"/>
      <w:lvlText w:val="(%2)"/>
      <w:numFmt w:val="lowerLetter"/>
      <w:start w:val="1"/>
    </w:lvl>
  </w:abstractNum>
  <w:abstractNum w:abstractNumId="17">
    <w:nsid w:val="3A95F874"/>
    <w:multiLevelType w:val="hybridMultilevel"/>
    <w:lvl w:ilvl="0">
      <w:lvlJc w:val="left"/>
      <w:lvlText w:val="%1"/>
      <w:numFmt w:val="decimal"/>
      <w:start w:val="1"/>
    </w:lvl>
    <w:lvl w:ilvl="1">
      <w:lvlJc w:val="left"/>
      <w:lvlText w:val="(%2)"/>
      <w:numFmt w:val="lowerLetter"/>
      <w:start w:val="2"/>
    </w:lvl>
  </w:abstractNum>
  <w:abstractNum w:abstractNumId="18">
    <w:nsid w:val="8138641"/>
    <w:multiLevelType w:val="hybridMultilevel"/>
    <w:lvl w:ilvl="0">
      <w:lvlJc w:val="left"/>
      <w:lvlText w:val="%1."/>
      <w:numFmt w:val="decimal"/>
      <w:start w:val="4"/>
    </w:lvl>
    <w:lvl w:ilvl="1">
      <w:lvlJc w:val="left"/>
      <w:lvlText w:val="(%2)"/>
      <w:numFmt w:val="lowerLetter"/>
      <w:start w:val="1"/>
    </w:lvl>
  </w:abstractNum>
  <w:abstractNum w:abstractNumId="19">
    <w:nsid w:val="1E7FF521"/>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20">
    <w:nsid w:val="7C3DBD3D"/>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9"/>
    </w:lvl>
  </w:abstractNum>
  <w:abstractNum w:abstractNumId="21">
    <w:nsid w:val="737B8DDC"/>
    <w:multiLevelType w:val="hybridMultilevel"/>
    <w:lvl w:ilvl="0">
      <w:lvlJc w:val="left"/>
      <w:lvlText w:val="%1"/>
      <w:numFmt w:val="lowerLetter"/>
      <w:start w:val="1"/>
    </w:lvl>
    <w:lvl w:ilvl="1">
      <w:lvlJc w:val="left"/>
      <w:lvlText w:val="(%2)"/>
      <w:numFmt w:val="lowerLetter"/>
      <w:start w:val="35"/>
    </w:lvl>
  </w:abstractNum>
  <w:abstractNum w:abstractNumId="22">
    <w:nsid w:val="6CEAF087"/>
    <w:multiLevelType w:val="hybridMultilevel"/>
    <w:lvl w:ilvl="0">
      <w:lvlJc w:val="left"/>
      <w:lvlText w:val="(%1)"/>
      <w:numFmt w:val="lowerLetter"/>
      <w:start w:val="3"/>
    </w:lvl>
    <w:lvl w:ilvl="1">
      <w:lvlJc w:val="left"/>
      <w:lvlText w:val="(%2)"/>
      <w:numFmt w:val="lowerLetter"/>
      <w:start w:val="9"/>
    </w:lvl>
  </w:abstractNum>
  <w:abstractNum w:abstractNumId="23">
    <w:nsid w:val="22221A70"/>
    <w:multiLevelType w:val="hybridMultilevel"/>
    <w:lvl w:ilvl="0">
      <w:lvlJc w:val="left"/>
      <w:lvlText w:val="(%1)"/>
      <w:numFmt w:val="lowerRoman"/>
      <w:start w:val="2"/>
    </w:lvl>
  </w:abstractNum>
  <w:abstractNum w:abstractNumId="24">
    <w:nsid w:val="4516DDE9"/>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1"/>
    </w:lvl>
    <w:lvl w:ilvl="3">
      <w:lvlJc w:val="left"/>
      <w:lvlText w:val="(%4)"/>
      <w:numFmt w:val="lowerLetter"/>
      <w:start w:val="61"/>
    </w:lvl>
  </w:abstractNum>
  <w:abstractNum w:abstractNumId="25">
    <w:nsid w:val="3006C83E"/>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4"/>
    </w:lvl>
    <w:lvl w:ilvl="3">
      <w:lvlJc w:val="left"/>
      <w:lvlText w:val="%4"/>
      <w:numFmt w:val="lowerLetter"/>
      <w:start w:val="1"/>
    </w:lvl>
  </w:abstractNum>
  <w:abstractNum w:abstractNumId="26">
    <w:nsid w:val="614FD4A1"/>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1"/>
    </w:lvl>
    <w:lvl w:ilvl="3">
      <w:lvlJc w:val="left"/>
      <w:lvlText w:val="%4"/>
      <w:numFmt w:val="lowerLetter"/>
      <w:start w:val="1"/>
    </w:lvl>
  </w:abstractNum>
  <w:abstractNum w:abstractNumId="27">
    <w:nsid w:val="419AC241"/>
    <w:multiLevelType w:val="hybridMultilevel"/>
    <w:lvl w:ilvl="0">
      <w:lvlJc w:val="left"/>
      <w:lvlText w:val="(%1)"/>
      <w:numFmt w:val="lowerLetter"/>
      <w:start w:val="35"/>
    </w:lvl>
    <w:lvl w:ilvl="1">
      <w:lvlJc w:val="left"/>
      <w:lvlText w:val="%2"/>
      <w:numFmt w:val="lowerRoman"/>
      <w:start w:val="1"/>
    </w:lvl>
    <w:lvl w:ilvl="2">
      <w:lvlJc w:val="left"/>
      <w:lvlText w:val="%3"/>
      <w:numFmt w:val="lowerLetter"/>
      <w:start w:val="1"/>
    </w:lvl>
    <w:lvl w:ilvl="3">
      <w:lvlJc w:val="left"/>
      <w:lvlText w:val="%4"/>
      <w:numFmt w:val="lowerLetter"/>
      <w:start w:val="1"/>
    </w:lvl>
  </w:abstractNum>
  <w:abstractNum w:abstractNumId="28">
    <w:nsid w:val="5577F8E1"/>
    <w:multiLevelType w:val="hybridMultilevel"/>
    <w:lvl w:ilvl="0">
      <w:lvlJc w:val="left"/>
      <w:lvlText w:val="%1."/>
      <w:numFmt w:val="decimal"/>
      <w:start w:val="6"/>
    </w:lvl>
    <w:lvl w:ilvl="1">
      <w:lvlJc w:val="left"/>
      <w:lvlText w:val="(%2)"/>
      <w:numFmt w:val="lowerLetter"/>
      <w:start w:val="1"/>
    </w:lvl>
  </w:abstractNum>
  <w:abstractNum w:abstractNumId="29">
    <w:nsid w:val="440BADFC"/>
    <w:multiLevelType w:val="hybridMultilevel"/>
    <w:lvl w:ilvl="0">
      <w:lvlJc w:val="left"/>
      <w:lvlText w:val="(%1)"/>
      <w:numFmt w:val="lowerLetter"/>
      <w:start w:val="4"/>
    </w:lvl>
  </w:abstractNum>
  <w:abstractNum w:abstractNumId="30">
    <w:nsid w:val="5072367"/>
    <w:multiLevelType w:val="hybridMultilevel"/>
    <w:lvl w:ilvl="0">
      <w:lvlJc w:val="left"/>
      <w:lvlText w:val="(%1)"/>
      <w:numFmt w:val="lowerLetter"/>
      <w:start w:val="9"/>
    </w:lvl>
  </w:abstractNum>
  <w:abstractNum w:abstractNumId="31">
    <w:nsid w:val="3804823E"/>
    <w:multiLevelType w:val="hybridMultilevel"/>
    <w:lvl w:ilvl="0">
      <w:lvlJc w:val="left"/>
      <w:lvlText w:val="%1."/>
      <w:numFmt w:val="decimal"/>
      <w:start w:val="8"/>
    </w:lvl>
    <w:lvl w:ilvl="1">
      <w:lvlJc w:val="left"/>
      <w:lvlText w:val="(%2)"/>
      <w:numFmt w:val="lowerLetter"/>
      <w:start w:val="1"/>
    </w:lvl>
  </w:abstractNum>
  <w:abstractNum w:abstractNumId="32">
    <w:nsid w:val="77465F01"/>
    <w:multiLevelType w:val="hybridMultilevel"/>
    <w:lvl w:ilvl="0">
      <w:lvlJc w:val="left"/>
      <w:lvlText w:val="%1."/>
      <w:numFmt w:val="decimal"/>
      <w:start w:val="9"/>
    </w:lvl>
    <w:lvl w:ilvl="1">
      <w:lvlJc w:val="left"/>
      <w:lvlText w:val="(%2)"/>
      <w:numFmt w:val="lowerLetter"/>
      <w:start w:val="1"/>
    </w:lvl>
  </w:abstractNum>
  <w:abstractNum w:abstractNumId="33">
    <w:nsid w:val="7724C67E"/>
    <w:multiLevelType w:val="hybridMultilevel"/>
    <w:lvl w:ilvl="0">
      <w:lvlJc w:val="left"/>
      <w:lvlText w:val="(%1)"/>
      <w:numFmt w:val="lowerLetter"/>
      <w:start w:val="3"/>
    </w:lvl>
  </w:abstractNum>
  <w:abstractNum w:abstractNumId="34">
    <w:nsid w:val="5C482A97"/>
    <w:multiLevelType w:val="hybridMultilevel"/>
    <w:lvl w:ilvl="0">
      <w:lvlJc w:val="left"/>
      <w:lvlText w:val="%1."/>
      <w:numFmt w:val="decimal"/>
      <w:start w:val="10"/>
    </w:lvl>
  </w:abstractNum>
  <w:abstractNum w:abstractNumId="35">
    <w:nsid w:val="2463B9EA"/>
    <w:multiLevelType w:val="hybridMultilevel"/>
    <w:lvl w:ilvl="0">
      <w:lvlJc w:val="left"/>
      <w:lvlText w:val="%1."/>
      <w:numFmt w:val="decimal"/>
      <w:start w:val="1"/>
    </w:lvl>
    <w:lvl w:ilvl="1">
      <w:lvlJc w:val="left"/>
      <w:lvlText w:val="(%2)"/>
      <w:numFmt w:val="lowerLetter"/>
      <w:start w:val="1"/>
    </w:lvl>
  </w:abstractNum>
  <w:abstractNum w:abstractNumId="36">
    <w:nsid w:val="5E884ADC"/>
    <w:multiLevelType w:val="hybridMultilevel"/>
    <w:lvl w:ilvl="0">
      <w:lvlJc w:val="left"/>
      <w:lvlText w:val="(%1)"/>
      <w:numFmt w:val="lowerLetter"/>
      <w:start w:val="1"/>
    </w:lvl>
  </w:abstractNum>
  <w:abstractNum w:abstractNumId="37">
    <w:nsid w:val="51EAD36B"/>
    <w:multiLevelType w:val="hybridMultilevel"/>
    <w:lvl w:ilvl="0">
      <w:lvlJc w:val="left"/>
      <w:lvlText w:val="%1."/>
      <w:numFmt w:val="decimal"/>
      <w:start w:val="1"/>
    </w:lvl>
    <w:lvl w:ilvl="1">
      <w:lvlJc w:val="left"/>
      <w:lvlText w:val="(%2)"/>
      <w:numFmt w:val="lowerLetter"/>
      <w:start w:val="1"/>
    </w:lvl>
  </w:abstractNum>
  <w:abstractNum w:abstractNumId="38">
    <w:nsid w:val="2D517796"/>
    <w:multiLevelType w:val="hybridMultilevel"/>
    <w:lvl w:ilvl="0">
      <w:lvlJc w:val="left"/>
      <w:lvlText w:val="(%1)"/>
      <w:numFmt w:val="lowerLetter"/>
      <w:start w:val="1"/>
    </w:lvl>
  </w:abstractNum>
  <w:abstractNum w:abstractNumId="39">
    <w:nsid w:val="580BD78F"/>
    <w:multiLevelType w:val="hybridMultilevel"/>
    <w:lvl w:ilvl="0">
      <w:lvlJc w:val="left"/>
      <w:lvlText w:val="(%1)"/>
      <w:numFmt w:val="decimal"/>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73" Type="http://schemas.openxmlformats.org/officeDocument/2006/relationships/hyperlink" Target="https://www.sec.gov/Archives/edgar/data/1816581/000119312521036740/d10549ds4a.htm#rom10549_42" TargetMode="External"/><Relationship Id="rId74" Type="http://schemas.openxmlformats.org/officeDocument/2006/relationships/hyperlink" Target="https://www.sec.gov/Archives/edgar/data/0001816581/000119312521076326/d149743dex31.htm" TargetMode="External"/><Relationship Id="rId75" Type="http://schemas.openxmlformats.org/officeDocument/2006/relationships/hyperlink" Target="https://www.sec.gov/Archives/edgar/data/0001816581/000119312521076326/d149743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2021-08-10T05:28:30Z</dcterms:created>
  <dcterms:modified xsi:type="dcterms:W3CDTF">2021-08-10T05:28:30Z</dcterms:modified>
</cp:coreProperties>
</file>