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w:t>
      </w:r>
    </w:p>
    <w:p>
      <w:pPr>
        <w:pStyle w:val="TextBody"/>
        <w:bidi w:val="0"/>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FORM 10-K</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2023</w:t>
      </w:r>
    </w:p>
    <w:p>
      <w:pPr>
        <w:pStyle w:val="TextBody"/>
        <w:bidi w:val="0"/>
        <w:spacing w:lineRule="auto" w:line="288" w:before="24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 to ________</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001-39463</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w:t>
      </w:r>
    </w:p>
    <w:p>
      <w:pPr>
        <w:pStyle w:val="TextBody"/>
        <w:bidi w:val="0"/>
        <w:spacing w:lineRule="auto" w:line="288" w:before="120" w:after="283"/>
        <w:jc w:val="center"/>
        <w:rPr>
          <w:rFonts w:ascii="Times New Roman;sans-serif" w:hAnsi="Times New Roman;sans-serif"/>
          <w:b/>
          <w:color w:val="231F20"/>
          <w:sz w:val="48"/>
        </w:rPr>
      </w:pPr>
      <w:r>
        <w:rPr>
          <w:rFonts w:ascii="Times New Roman;sans-serif" w:hAnsi="Times New Roman;sans-serif"/>
          <w:b/>
          <w:color w:val="231F20"/>
          <w:sz w:val="48"/>
        </w:rPr>
        <w:t>Ouster,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(Exact name of registrant as specified in its charter)</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w:t>
      </w:r>
    </w:p>
    <w:tbl>
      <w:tblPr>
        <w:tblW w:w="6655" w:type="dxa"/>
        <w:jc w:val="left"/>
        <w:tblInd w:w="0" w:type="dxa"/>
        <w:tblLayout w:type="fixed"/>
        <w:tblCellMar>
          <w:top w:w="28" w:type="dxa"/>
          <w:left w:w="28" w:type="dxa"/>
          <w:bottom w:w="28" w:type="dxa"/>
          <w:right w:w="28" w:type="dxa"/>
        </w:tblCellMar>
      </w:tblPr>
      <w:tblGrid>
        <w:gridCol w:w="1193"/>
        <w:gridCol w:w="1047"/>
        <w:gridCol w:w="1059"/>
        <w:gridCol w:w="109"/>
        <w:gridCol w:w="109"/>
        <w:gridCol w:w="109"/>
        <w:gridCol w:w="884"/>
        <w:gridCol w:w="884"/>
        <w:gridCol w:w="1261"/>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86-2528989</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6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350 Treat Avenue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Francisco, California</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94110</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240" w:after="283"/>
        <w:jc w:val="center"/>
        <w:rPr/>
      </w:pPr>
      <w:r>
        <w:rPr>
          <w:rFonts w:ascii="Times New Roman;sans-serif" w:hAnsi="Times New Roman;sans-serif"/>
          <w:b/>
          <w:color w:val="000000"/>
          <w:sz w:val="20"/>
        </w:rPr>
        <w:t>Registrant's telephone number, including area code:</w:t>
      </w:r>
      <w:r>
        <w:rPr>
          <w:color w:val="000000"/>
        </w:rPr>
        <w:t xml:space="preserve"> </w:t>
      </w:r>
      <w:r>
        <w:rPr>
          <w:rFonts w:ascii="Times New Roman;sans-serif" w:hAnsi="Times New Roman;sans-serif"/>
          <w:b/>
          <w:color w:val="000000"/>
          <w:sz w:val="20"/>
        </w:rPr>
        <w:t>(415) 949-0108</w:t>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764" w:type="dxa"/>
        <w:jc w:val="left"/>
        <w:tblInd w:w="0" w:type="dxa"/>
        <w:tblLayout w:type="fixed"/>
        <w:tblCellMar>
          <w:top w:w="28" w:type="dxa"/>
          <w:left w:w="28" w:type="dxa"/>
          <w:bottom w:w="28" w:type="dxa"/>
          <w:right w:w="28" w:type="dxa"/>
        </w:tblCellMar>
      </w:tblPr>
      <w:tblGrid>
        <w:gridCol w:w="1534"/>
        <w:gridCol w:w="1348"/>
        <w:gridCol w:w="1363"/>
        <w:gridCol w:w="564"/>
        <w:gridCol w:w="564"/>
        <w:gridCol w:w="566"/>
        <w:gridCol w:w="1118"/>
        <w:gridCol w:w="1118"/>
        <w:gridCol w:w="1589"/>
      </w:tblGrid>
      <w:tr>
        <w:trPr/>
        <w:tc>
          <w:tcPr>
            <w:tcW w:w="1534"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42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per share</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OUST</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r>
        <w:trPr/>
        <w:tc>
          <w:tcPr>
            <w:tcW w:w="42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OUST WS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r>
        <w:trPr/>
        <w:tc>
          <w:tcPr>
            <w:tcW w:w="42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 expiring 2025</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OUST WSA</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NYSE American</w:t>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8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Securities registered pursuant to section 12(g) of the Act: </w:t>
      </w:r>
      <w:r>
        <w:rPr>
          <w:rFonts w:ascii="Times New Roman;sans-serif" w:hAnsi="Times New Roman;sans-serif"/>
          <w:b/>
          <w:color w:val="000000"/>
          <w:sz w:val="20"/>
        </w:rPr>
        <w:t>None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a well-known seasoned issuer, as defined in Rule 405 of the Securities Act.</w:t>
      </w:r>
    </w:p>
    <w:p>
      <w:pPr>
        <w:pStyle w:val="TextBody"/>
        <w:bidi w:val="0"/>
        <w:spacing w:lineRule="auto" w:line="288" w:before="240" w:after="283"/>
        <w:jc w:val="left"/>
        <w:rPr/>
      </w:pPr>
      <w:r>
        <w:rPr>
          <w:rFonts w:ascii="Times New Roman;sans-serif" w:hAnsi="Times New Roman;sans-serif"/>
          <w:b w:val="false"/>
          <w:color w:val="000000"/>
          <w:sz w:val="20"/>
        </w:rPr>
        <w:t xml:space="preserve">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240" w:after="283"/>
        <w:jc w:val="left"/>
        <w:rPr/>
      </w:pPr>
      <w:r>
        <w:rPr>
          <w:rFonts w:ascii="Times New Roman;sans-serif" w:hAnsi="Times New Roman;sans-serif"/>
          <w:b w:val="false"/>
          <w:color w:val="000000"/>
          <w:sz w:val="20"/>
        </w:rPr>
        <w:t xml:space="preserve">Indicate by check mark if the registrant is not required to file reports pursuant to Section 13 or Section 15(d) of the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240" w:after="283"/>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240" w:after="283"/>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019" w:type="dxa"/>
        <w:jc w:val="center"/>
        <w:tblInd w:w="0" w:type="dxa"/>
        <w:tblLayout w:type="fixed"/>
        <w:tblCellMar>
          <w:top w:w="28" w:type="dxa"/>
          <w:left w:w="28" w:type="dxa"/>
          <w:bottom w:w="28" w:type="dxa"/>
          <w:right w:w="28" w:type="dxa"/>
        </w:tblCellMar>
      </w:tblPr>
      <w:tblGrid>
        <w:gridCol w:w="711"/>
        <w:gridCol w:w="625"/>
        <w:gridCol w:w="629"/>
        <w:gridCol w:w="109"/>
        <w:gridCol w:w="109"/>
        <w:gridCol w:w="109"/>
        <w:gridCol w:w="784"/>
        <w:gridCol w:w="784"/>
        <w:gridCol w:w="787"/>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40" w:after="283"/>
        <w:jc w:val="left"/>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Times New Roman;sans-serif" w:hAnsi="Times New Roman;sans-serif"/>
          <w:b w:val="false"/>
          <w:color w:val="000000"/>
          <w:sz w:val="24"/>
        </w:rPr>
        <w:t xml:space="preserve">. </w:t>
      </w:r>
      <w:r>
        <w:rPr>
          <w:color w:val="000000"/>
        </w:rPr>
        <w:t>☐</w:t>
      </w:r>
    </w:p>
    <w:p>
      <w:pPr>
        <w:pStyle w:val="TextBody"/>
        <w:bidi w:val="0"/>
        <w:spacing w:lineRule="auto" w:line="288" w:before="240" w:after="283"/>
        <w:jc w:val="left"/>
        <w:rPr/>
      </w:pPr>
      <w:r>
        <w:rPr>
          <w:rFonts w:ascii="Times New Roman;sans-serif" w:hAnsi="Times New Roman;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240" w:after="283"/>
        <w:jc w:val="left"/>
        <w:rPr/>
      </w:pPr>
      <w:r>
        <w:rPr>
          <w:rFonts w:ascii="Times New Roman;sans-serif" w:hAnsi="Times New Roman;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240" w:after="283"/>
        <w:jc w:val="left"/>
        <w:rPr/>
      </w:pPr>
      <w:r>
        <w:rPr>
          <w:rFonts w:ascii="Times New Roman;sans-serif" w:hAnsi="Times New Roman;sans-serif"/>
          <w:b w:val="false"/>
          <w:color w:val="000000"/>
          <w:sz w:val="20"/>
        </w:rPr>
        <w:t xml:space="preserve">Indicate by check mark whether the registrant is a shell company (as defined in Rule 12b-2 of the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The aggregate market value of the voting and non-voting stock held by non-affiliates of the registrant, as of June 30, 2023, the last business day of the registrant’s most recently completed second fiscal quarter, was approximately</w:t>
      </w:r>
      <w:r>
        <w:rPr>
          <w:color w:val="000000"/>
        </w:rPr>
        <w:t xml:space="preserve"> </w:t>
      </w:r>
      <w:r>
        <w:rPr>
          <w:rFonts w:ascii="Times New Roman;sans-serif" w:hAnsi="Times New Roman;sans-serif"/>
          <w:b w:val="false"/>
          <w:color w:val="000000"/>
          <w:sz w:val="20"/>
        </w:rPr>
        <w:t>$174.1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 had 40,671,374 shares of common stock outstanding as of March 21, 2024.</w:t>
      </w:r>
    </w:p>
    <w:p>
      <w:pPr>
        <w:pStyle w:val="TextBody"/>
        <w:bidi w:val="0"/>
        <w:spacing w:lineRule="auto" w:line="288" w:before="360" w:after="283"/>
        <w:jc w:val="center"/>
        <w:rPr>
          <w:rFonts w:ascii="Times New Roman;sans-serif" w:hAnsi="Times New Roman;sans-serif"/>
          <w:b/>
          <w:color w:val="000000"/>
          <w:sz w:val="18"/>
        </w:rPr>
      </w:pPr>
      <w:r>
        <w:rPr>
          <w:rFonts w:ascii="Times New Roman;sans-serif" w:hAnsi="Times New Roman;sans-serif"/>
          <w:b/>
          <w:color w:val="000000"/>
          <w:sz w:val="18"/>
        </w:rPr>
        <w:t xml:space="preserve">Documents Incorporated by Reference: </w:t>
      </w:r>
    </w:p>
    <w:p>
      <w:pPr>
        <w:pStyle w:val="TextBody"/>
        <w:bidi w:val="0"/>
        <w:spacing w:lineRule="auto" w:line="288" w:before="1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Specifically identified portions of the registrant’s definitive proxy statement relating to its 2024 annual meeting of stockholders are incorporated by reference in Part III of this Annual Report on Form 10-K where indicated. The registrant's definitive proxy statement will be filed with the U.S. Securities and Exchange Commission (the “SEC”) within 120 days after the end of the registrant’s fiscal year ended December 31, 2023.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03"/>
        <w:gridCol w:w="3064"/>
        <w:gridCol w:w="3126"/>
        <w:gridCol w:w="149"/>
        <w:gridCol w:w="149"/>
        <w:gridCol w:w="214"/>
      </w:tblGrid>
      <w:tr>
        <w:trPr/>
        <w:tc>
          <w:tcPr>
            <w:tcW w:w="3503" w:type="dxa"/>
            <w:tcBorders/>
            <w:vAlign w:val="center"/>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10">
              <w:r>
                <w:rPr>
                  <w:rStyle w:val="InternetLink"/>
                  <w:rFonts w:ascii="Times New Roman;sans-serif" w:hAnsi="Times New Roman;sans-serif"/>
                  <w:b/>
                  <w:strike w:val="false"/>
                  <w:dstrike w:val="false"/>
                  <w:color w:val="000000"/>
                  <w:sz w:val="20"/>
                  <w:u w:val="none"/>
                  <w:effect w:val="none"/>
                </w:rPr>
                <w:t>PART I</w:t>
              </w:r>
            </w:hyperlink>
          </w:p>
        </w:tc>
        <w:tc>
          <w:tcPr>
            <w:tcW w:w="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13">
              <w:r>
                <w:rPr>
                  <w:rStyle w:val="InternetLink"/>
                  <w:rFonts w:ascii="Times New Roman;sans-serif" w:hAnsi="Times New Roman;sans-serif"/>
                  <w:b w:val="false"/>
                  <w:strike w:val="false"/>
                  <w:dstrike w:val="false"/>
                  <w:color w:val="000000"/>
                  <w:sz w:val="20"/>
                  <w:u w:val="none"/>
                  <w:effect w:val="none"/>
                </w:rPr>
                <w:t>Item 1. Business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d5dc8e3d79d422bb773229d757a9969_13">
              <w:r>
                <w:rPr>
                  <w:rStyle w:val="InternetLink"/>
                  <w:rFonts w:ascii="Times New Roman;sans-serif" w:hAnsi="Times New Roman;sans-serif"/>
                  <w:b w:val="false"/>
                  <w:strike w:val="false"/>
                  <w:dstrike w:val="false"/>
                  <w:color w:val="000000"/>
                  <w:sz w:val="20"/>
                  <w:u w:val="none"/>
                  <w:effect w:val="none"/>
                </w:rPr>
                <w:t>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16">
              <w:r>
                <w:rPr>
                  <w:rStyle w:val="InternetLink"/>
                  <w:rFonts w:ascii="Times New Roman;sans-serif" w:hAnsi="Times New Roman;sans-serif"/>
                  <w:b w:val="false"/>
                  <w:strike w:val="false"/>
                  <w:dstrike w:val="false"/>
                  <w:color w:val="000000"/>
                  <w:sz w:val="20"/>
                  <w:u w:val="none"/>
                  <w:effect w:val="none"/>
                </w:rPr>
                <w:t>Item 1A. 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d5dc8e3d79d422bb773229d757a9969_16">
              <w:r>
                <w:rPr>
                  <w:rStyle w:val="InternetLink"/>
                  <w:rFonts w:ascii="Times New Roman;sans-serif" w:hAnsi="Times New Roman;sans-serif"/>
                  <w:b w:val="false"/>
                  <w:strike w:val="false"/>
                  <w:dstrike w:val="false"/>
                  <w:color w:val="000000"/>
                  <w:sz w:val="20"/>
                  <w:u w:val="none"/>
                  <w:effect w:val="none"/>
                </w:rPr>
                <w:t>17</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19">
              <w:r>
                <w:rPr>
                  <w:rStyle w:val="InternetLink"/>
                  <w:rFonts w:ascii="Times New Roman;sans-serif" w:hAnsi="Times New Roman;sans-serif"/>
                  <w:b w:val="false"/>
                  <w:strike w:val="false"/>
                  <w:dstrike w:val="false"/>
                  <w:color w:val="000000"/>
                  <w:sz w:val="20"/>
                  <w:u w:val="none"/>
                  <w:effect w:val="none"/>
                </w:rPr>
                <w:t>Item 1B. Unresolved Staff Comments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d5dc8e3d79d422bb773229d757a9969_19">
              <w:r>
                <w:rPr>
                  <w:rStyle w:val="InternetLink"/>
                  <w:rFonts w:ascii="Times New Roman;sans-serif" w:hAnsi="Times New Roman;sans-serif"/>
                  <w:b w:val="false"/>
                  <w:strike w:val="false"/>
                  <w:dstrike w:val="false"/>
                  <w:color w:val="000000"/>
                  <w:sz w:val="20"/>
                  <w:u w:val="none"/>
                  <w:effect w:val="none"/>
                </w:rPr>
                <w:t>45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12094627906307">
              <w:r>
                <w:rPr>
                  <w:rStyle w:val="InternetLink"/>
                  <w:rFonts w:ascii="Times New Roman;sans-serif" w:hAnsi="Times New Roman;sans-serif"/>
                  <w:b w:val="false"/>
                  <w:strike w:val="false"/>
                  <w:dstrike w:val="false"/>
                  <w:color w:val="000000"/>
                  <w:sz w:val="20"/>
                  <w:u w:val="none"/>
                  <w:effect w:val="none"/>
                </w:rPr>
                <w:t>Item 1C.</w:t>
              </w:r>
            </w:hyperlink>
            <w:r>
              <w:rPr>
                <w:rFonts w:ascii="Times New Roman;sans-serif" w:hAnsi="Times New Roman;sans-serif"/>
                <w:b w:val="false"/>
                <w:color w:val="000000"/>
                <w:sz w:val="20"/>
              </w:rPr>
              <w:t xml:space="preserve"> Cybersecurity</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d5dc8e3d79d422bb773229d757a9969_12094627906307">
              <w:r>
                <w:rPr>
                  <w:rStyle w:val="InternetLink"/>
                  <w:rFonts w:ascii="Times New Roman;sans-serif" w:hAnsi="Times New Roman;sans-serif"/>
                  <w:b w:val="false"/>
                  <w:strike w:val="false"/>
                  <w:dstrike w:val="false"/>
                  <w:color w:val="000000"/>
                  <w:sz w:val="20"/>
                  <w:u w:val="none"/>
                  <w:effect w:val="none"/>
                </w:rPr>
                <w:t>45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22">
              <w:r>
                <w:rPr>
                  <w:rStyle w:val="InternetLink"/>
                  <w:rFonts w:ascii="Times New Roman;sans-serif" w:hAnsi="Times New Roman;sans-serif"/>
                  <w:b w:val="false"/>
                  <w:strike w:val="false"/>
                  <w:dstrike w:val="false"/>
                  <w:color w:val="000000"/>
                  <w:sz w:val="20"/>
                  <w:u w:val="none"/>
                  <w:effect w:val="none"/>
                </w:rPr>
                <w:t>Item 2. Properties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d5dc8e3d79d422bb773229d757a9969_22">
              <w:r>
                <w:rPr>
                  <w:rStyle w:val="InternetLink"/>
                  <w:rFonts w:ascii="Times New Roman;sans-serif" w:hAnsi="Times New Roman;sans-serif"/>
                  <w:b w:val="false"/>
                  <w:strike w:val="false"/>
                  <w:dstrike w:val="false"/>
                  <w:color w:val="000000"/>
                  <w:sz w:val="20"/>
                  <w:u w:val="none"/>
                  <w:effect w:val="none"/>
                </w:rPr>
                <w:t>46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25">
              <w:r>
                <w:rPr>
                  <w:rStyle w:val="InternetLink"/>
                  <w:rFonts w:ascii="Times New Roman;sans-serif" w:hAnsi="Times New Roman;sans-serif"/>
                  <w:b w:val="false"/>
                  <w:strike w:val="false"/>
                  <w:dstrike w:val="false"/>
                  <w:color w:val="000000"/>
                  <w:sz w:val="20"/>
                  <w:u w:val="none"/>
                  <w:effect w:val="none"/>
                </w:rPr>
                <w:t>Item 3. 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d5dc8e3d79d422bb773229d757a9969_25">
              <w:r>
                <w:rPr>
                  <w:rStyle w:val="InternetLink"/>
                  <w:rFonts w:ascii="Times New Roman;sans-serif" w:hAnsi="Times New Roman;sans-serif"/>
                  <w:b w:val="false"/>
                  <w:strike w:val="false"/>
                  <w:dstrike w:val="false"/>
                  <w:color w:val="000000"/>
                  <w:sz w:val="20"/>
                  <w:u w:val="none"/>
                  <w:effect w:val="none"/>
                </w:rPr>
                <w:t>46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28">
              <w:r>
                <w:rPr>
                  <w:rStyle w:val="InternetLink"/>
                  <w:rFonts w:ascii="Times New Roman;sans-serif" w:hAnsi="Times New Roman;sans-serif"/>
                  <w:b w:val="false"/>
                  <w:strike w:val="false"/>
                  <w:dstrike w:val="false"/>
                  <w:color w:val="000000"/>
                  <w:sz w:val="20"/>
                  <w:u w:val="none"/>
                  <w:effect w:val="none"/>
                </w:rPr>
                <w:t>Item 4. Mine Safety Disclosures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d5dc8e3d79d422bb773229d757a9969_28">
              <w:r>
                <w:rPr>
                  <w:rStyle w:val="InternetLink"/>
                  <w:rFonts w:ascii="Times New Roman;sans-serif" w:hAnsi="Times New Roman;sans-serif"/>
                  <w:b w:val="false"/>
                  <w:strike w:val="false"/>
                  <w:dstrike w:val="false"/>
                  <w:color w:val="000000"/>
                  <w:sz w:val="20"/>
                  <w:u w:val="none"/>
                  <w:effect w:val="none"/>
                </w:rPr>
                <w:t>46</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31">
              <w:r>
                <w:rPr>
                  <w:rStyle w:val="InternetLink"/>
                  <w:rFonts w:ascii="Times New Roman;sans-serif" w:hAnsi="Times New Roman;sans-serif"/>
                  <w:b/>
                  <w:strike w:val="false"/>
                  <w:dstrike w:val="false"/>
                  <w:color w:val="000000"/>
                  <w:sz w:val="20"/>
                  <w:u w:val="none"/>
                  <w:effect w:val="none"/>
                </w:rPr>
                <w:t>PART II</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34">
              <w:r>
                <w:rPr>
                  <w:rStyle w:val="InternetLink"/>
                  <w:rFonts w:ascii="Times New Roman;sans-serif" w:hAnsi="Times New Roman;sans-serif"/>
                  <w:b w:val="false"/>
                  <w:strike w:val="false"/>
                  <w:dstrike w:val="false"/>
                  <w:color w:val="000000"/>
                  <w:sz w:val="20"/>
                  <w:u w:val="none"/>
                  <w:effect w:val="none"/>
                </w:rPr>
                <w:t>Item 5. Market for Registrant's Common Equity, Related Stockholder Matters and Issuer Purchases of Equity Securities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d5dc8e3d79d422bb773229d757a9969_34">
              <w:r>
                <w:rPr>
                  <w:rStyle w:val="InternetLink"/>
                  <w:rFonts w:ascii="Times New Roman;sans-serif" w:hAnsi="Times New Roman;sans-serif"/>
                  <w:b w:val="false"/>
                  <w:strike w:val="false"/>
                  <w:dstrike w:val="false"/>
                  <w:color w:val="000000"/>
                  <w:sz w:val="20"/>
                  <w:u w:val="none"/>
                  <w:effect w:val="none"/>
                </w:rPr>
                <w:t>47</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37">
              <w:r>
                <w:rPr>
                  <w:rStyle w:val="InternetLink"/>
                  <w:rFonts w:ascii="Times New Roman;sans-serif" w:hAnsi="Times New Roman;sans-serif"/>
                  <w:b w:val="false"/>
                  <w:strike w:val="false"/>
                  <w:dstrike w:val="false"/>
                  <w:color w:val="000000"/>
                  <w:sz w:val="20"/>
                  <w:u w:val="none"/>
                  <w:effect w:val="none"/>
                </w:rPr>
                <w:t>Item 6. [R</w:t>
              </w:r>
            </w:hyperlink>
            <w:r>
              <w:rPr>
                <w:rFonts w:ascii="Times New Roman;sans-serif" w:hAnsi="Times New Roman;sans-serif"/>
                <w:b w:val="false"/>
                <w:color w:val="000000"/>
                <w:sz w:val="20"/>
              </w:rPr>
              <w:t>eserved]</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d5dc8e3d79d422bb773229d757a9969_37">
              <w:r>
                <w:rPr>
                  <w:rStyle w:val="InternetLink"/>
                  <w:rFonts w:ascii="Times New Roman;sans-serif" w:hAnsi="Times New Roman;sans-serif"/>
                  <w:b w:val="false"/>
                  <w:strike w:val="false"/>
                  <w:dstrike w:val="false"/>
                  <w:color w:val="000000"/>
                  <w:sz w:val="20"/>
                  <w:u w:val="none"/>
                  <w:effect w:val="none"/>
                </w:rPr>
                <w:t>47</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40">
              <w:r>
                <w:rPr>
                  <w:rStyle w:val="InternetLink"/>
                  <w:rFonts w:ascii="Times New Roman;sans-serif" w:hAnsi="Times New Roman;sans-serif"/>
                  <w:b w:val="false"/>
                  <w:strike w:val="false"/>
                  <w:dstrike w:val="false"/>
                  <w:color w:val="000000"/>
                  <w:sz w:val="20"/>
                  <w:u w:val="none"/>
                  <w:effect w:val="none"/>
                </w:rPr>
                <w:t>Item 7. 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d5dc8e3d79d422bb773229d757a9969_40">
              <w:r>
                <w:rPr>
                  <w:rStyle w:val="InternetLink"/>
                  <w:rFonts w:ascii="Times New Roman;sans-serif" w:hAnsi="Times New Roman;sans-serif"/>
                  <w:b w:val="false"/>
                  <w:strike w:val="false"/>
                  <w:dstrike w:val="false"/>
                  <w:color w:val="000000"/>
                  <w:sz w:val="20"/>
                  <w:u w:val="none"/>
                  <w:effect w:val="none"/>
                </w:rPr>
                <w:t>47</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64">
              <w:r>
                <w:rPr>
                  <w:rStyle w:val="InternetLink"/>
                  <w:rFonts w:ascii="Times New Roman;sans-serif" w:hAnsi="Times New Roman;sans-serif"/>
                  <w:b w:val="false"/>
                  <w:strike w:val="false"/>
                  <w:dstrike w:val="false"/>
                  <w:color w:val="000000"/>
                  <w:sz w:val="20"/>
                  <w:u w:val="none"/>
                  <w:effect w:val="none"/>
                </w:rPr>
                <w:t>Item 7A. 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d5dc8e3d79d422bb773229d757a9969_64">
              <w:r>
                <w:rPr>
                  <w:rStyle w:val="InternetLink"/>
                  <w:rFonts w:ascii="Times New Roman;sans-serif" w:hAnsi="Times New Roman;sans-serif"/>
                  <w:b w:val="false"/>
                  <w:strike w:val="false"/>
                  <w:dstrike w:val="false"/>
                  <w:color w:val="000000"/>
                  <w:sz w:val="20"/>
                  <w:u w:val="none"/>
                  <w:effect w:val="none"/>
                </w:rPr>
                <w:t>60</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67">
              <w:r>
                <w:rPr>
                  <w:rStyle w:val="InternetLink"/>
                  <w:rFonts w:ascii="Times New Roman;sans-serif" w:hAnsi="Times New Roman;sans-serif"/>
                  <w:b w:val="false"/>
                  <w:strike w:val="false"/>
                  <w:dstrike w:val="false"/>
                  <w:color w:val="000000"/>
                  <w:sz w:val="20"/>
                  <w:u w:val="none"/>
                  <w:effect w:val="none"/>
                </w:rPr>
                <w:t>Item 8. Financial Statements and Supplementary Data</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d5dc8e3d79d422bb773229d757a9969_67">
              <w:r>
                <w:rPr>
                  <w:rStyle w:val="InternetLink"/>
                  <w:rFonts w:ascii="Times New Roman;sans-serif" w:hAnsi="Times New Roman;sans-serif"/>
                  <w:b w:val="false"/>
                  <w:strike w:val="false"/>
                  <w:dstrike w:val="false"/>
                  <w:color w:val="000000"/>
                  <w:sz w:val="20"/>
                  <w:u w:val="none"/>
                  <w:effect w:val="none"/>
                </w:rPr>
                <w:t>62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151">
              <w:r>
                <w:rPr>
                  <w:rStyle w:val="InternetLink"/>
                  <w:rFonts w:ascii="Times New Roman;sans-serif" w:hAnsi="Times New Roman;sans-serif"/>
                  <w:b w:val="false"/>
                  <w:strike w:val="false"/>
                  <w:dstrike w:val="false"/>
                  <w:color w:val="000000"/>
                  <w:sz w:val="20"/>
                  <w:u w:val="none"/>
                  <w:effect w:val="none"/>
                </w:rPr>
                <w:t>Item 9. Changes in and Disagreements With Accountants on Accounting and Financial Disclosures</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d5dc8e3d79d422bb773229d757a9969_151">
              <w:r>
                <w:rPr>
                  <w:rStyle w:val="InternetLink"/>
                  <w:rFonts w:ascii="Times New Roman;sans-serif" w:hAnsi="Times New Roman;sans-serif"/>
                  <w:b w:val="false"/>
                  <w:strike w:val="false"/>
                  <w:dstrike w:val="false"/>
                  <w:color w:val="000000"/>
                  <w:sz w:val="20"/>
                  <w:u w:val="none"/>
                  <w:effect w:val="none"/>
                </w:rPr>
                <w:t>105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154">
              <w:r>
                <w:rPr>
                  <w:rStyle w:val="InternetLink"/>
                  <w:rFonts w:ascii="Times New Roman;sans-serif" w:hAnsi="Times New Roman;sans-serif"/>
                  <w:b w:val="false"/>
                  <w:strike w:val="false"/>
                  <w:dstrike w:val="false"/>
                  <w:color w:val="000000"/>
                  <w:sz w:val="20"/>
                  <w:u w:val="none"/>
                  <w:effect w:val="none"/>
                </w:rPr>
                <w:t>Item 9A. Controls and Procedures</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d5dc8e3d79d422bb773229d757a9969_154">
              <w:r>
                <w:rPr>
                  <w:rStyle w:val="InternetLink"/>
                  <w:rFonts w:ascii="Times New Roman;sans-serif" w:hAnsi="Times New Roman;sans-serif"/>
                  <w:b w:val="false"/>
                  <w:strike w:val="false"/>
                  <w:dstrike w:val="false"/>
                  <w:color w:val="000000"/>
                  <w:sz w:val="20"/>
                  <w:u w:val="none"/>
                  <w:effect w:val="none"/>
                </w:rPr>
                <w:t>105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157">
              <w:r>
                <w:rPr>
                  <w:rStyle w:val="InternetLink"/>
                  <w:rFonts w:ascii="Times New Roman;sans-serif" w:hAnsi="Times New Roman;sans-serif"/>
                  <w:b w:val="false"/>
                  <w:strike w:val="false"/>
                  <w:dstrike w:val="false"/>
                  <w:color w:val="000000"/>
                  <w:sz w:val="20"/>
                  <w:u w:val="none"/>
                  <w:effect w:val="none"/>
                </w:rPr>
                <w:t>Item 9B. Other Information</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d5dc8e3d79d422bb773229d757a9969_157">
              <w:r>
                <w:rPr>
                  <w:rStyle w:val="InternetLink"/>
                  <w:rFonts w:ascii="Times New Roman;sans-serif" w:hAnsi="Times New Roman;sans-serif"/>
                  <w:b w:val="false"/>
                  <w:strike w:val="false"/>
                  <w:dstrike w:val="false"/>
                  <w:color w:val="000000"/>
                  <w:sz w:val="20"/>
                  <w:u w:val="none"/>
                  <w:effect w:val="none"/>
                </w:rPr>
                <w:t>107</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160">
              <w:r>
                <w:rPr>
                  <w:rStyle w:val="InternetLink"/>
                  <w:rFonts w:ascii="Times New Roman;sans-serif" w:hAnsi="Times New Roman;sans-serif"/>
                  <w:b w:val="false"/>
                  <w:strike w:val="false"/>
                  <w:dstrike w:val="false"/>
                  <w:color w:val="000000"/>
                  <w:sz w:val="20"/>
                  <w:u w:val="none"/>
                  <w:effect w:val="none"/>
                </w:rPr>
                <w:t>Item 9C. Disclosure Regarding Foreign Jurisdictions that Prevent Inspections</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d5dc8e3d79d422bb773229d757a9969_157">
              <w:r>
                <w:rPr>
                  <w:rStyle w:val="InternetLink"/>
                  <w:rFonts w:ascii="Times New Roman;sans-serif" w:hAnsi="Times New Roman;sans-serif"/>
                  <w:b w:val="false"/>
                  <w:strike w:val="false"/>
                  <w:dstrike w:val="false"/>
                  <w:color w:val="000000"/>
                  <w:sz w:val="20"/>
                  <w:u w:val="none"/>
                  <w:effect w:val="none"/>
                </w:rPr>
                <w:t>107</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163">
              <w:r>
                <w:rPr>
                  <w:rStyle w:val="InternetLink"/>
                  <w:rFonts w:ascii="Times New Roman;sans-serif" w:hAnsi="Times New Roman;sans-serif"/>
                  <w:b/>
                  <w:strike w:val="false"/>
                  <w:dstrike w:val="false"/>
                  <w:color w:val="000000"/>
                  <w:sz w:val="20"/>
                  <w:u w:val="none"/>
                  <w:effect w:val="none"/>
                </w:rPr>
                <w:t>PART III</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166">
              <w:r>
                <w:rPr>
                  <w:rStyle w:val="InternetLink"/>
                  <w:rFonts w:ascii="Times New Roman;sans-serif" w:hAnsi="Times New Roman;sans-serif"/>
                  <w:b w:val="false"/>
                  <w:strike w:val="false"/>
                  <w:dstrike w:val="false"/>
                  <w:color w:val="000000"/>
                  <w:sz w:val="20"/>
                  <w:u w:val="none"/>
                  <w:effect w:val="none"/>
                </w:rPr>
                <w:t>Item 10. Directors, Executive Officers and Corporate Governance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d5dc8e3d79d422bb773229d757a9969_166">
              <w:r>
                <w:rPr>
                  <w:rStyle w:val="InternetLink"/>
                  <w:rFonts w:ascii="Times New Roman;sans-serif" w:hAnsi="Times New Roman;sans-serif"/>
                  <w:b w:val="false"/>
                  <w:strike w:val="false"/>
                  <w:dstrike w:val="false"/>
                  <w:color w:val="000000"/>
                  <w:sz w:val="20"/>
                  <w:u w:val="none"/>
                  <w:effect w:val="none"/>
                </w:rPr>
                <w:t>108</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169">
              <w:r>
                <w:rPr>
                  <w:rStyle w:val="InternetLink"/>
                  <w:rFonts w:ascii="Times New Roman;sans-serif" w:hAnsi="Times New Roman;sans-serif"/>
                  <w:b w:val="false"/>
                  <w:strike w:val="false"/>
                  <w:dstrike w:val="false"/>
                  <w:color w:val="000000"/>
                  <w:sz w:val="20"/>
                  <w:u w:val="none"/>
                  <w:effect w:val="none"/>
                </w:rPr>
                <w:t>Item 11. Executive Compensation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d5dc8e3d79d422bb773229d757a9969_169">
              <w:r>
                <w:rPr>
                  <w:rStyle w:val="InternetLink"/>
                  <w:rFonts w:ascii="Times New Roman;sans-serif" w:hAnsi="Times New Roman;sans-serif"/>
                  <w:b w:val="false"/>
                  <w:strike w:val="false"/>
                  <w:dstrike w:val="false"/>
                  <w:color w:val="000000"/>
                  <w:sz w:val="20"/>
                  <w:u w:val="none"/>
                  <w:effect w:val="none"/>
                </w:rPr>
                <w:t>108</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172">
              <w:r>
                <w:rPr>
                  <w:rStyle w:val="InternetLink"/>
                  <w:rFonts w:ascii="Times New Roman;sans-serif" w:hAnsi="Times New Roman;sans-serif"/>
                  <w:b w:val="false"/>
                  <w:strike w:val="false"/>
                  <w:dstrike w:val="false"/>
                  <w:color w:val="000000"/>
                  <w:sz w:val="20"/>
                  <w:u w:val="none"/>
                  <w:effect w:val="none"/>
                </w:rPr>
                <w:t>Item 12. Security Ownership of Certain Beneficial Owner and Management and Related Stockholder Matters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d5dc8e3d79d422bb773229d757a9969_172">
              <w:r>
                <w:rPr>
                  <w:rStyle w:val="InternetLink"/>
                  <w:rFonts w:ascii="Times New Roman;sans-serif" w:hAnsi="Times New Roman;sans-serif"/>
                  <w:b w:val="false"/>
                  <w:strike w:val="false"/>
                  <w:dstrike w:val="false"/>
                  <w:color w:val="000000"/>
                  <w:sz w:val="20"/>
                  <w:u w:val="none"/>
                  <w:effect w:val="none"/>
                </w:rPr>
                <w:t>109</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175">
              <w:r>
                <w:rPr>
                  <w:rStyle w:val="InternetLink"/>
                  <w:rFonts w:ascii="Times New Roman;sans-serif" w:hAnsi="Times New Roman;sans-serif"/>
                  <w:b w:val="false"/>
                  <w:strike w:val="false"/>
                  <w:dstrike w:val="false"/>
                  <w:color w:val="000000"/>
                  <w:sz w:val="20"/>
                  <w:u w:val="none"/>
                  <w:effect w:val="none"/>
                </w:rPr>
                <w:t>Item 13. Certain Relationships and Related Transactions, and Director Independence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d5dc8e3d79d422bb773229d757a9969_175">
              <w:r>
                <w:rPr>
                  <w:rStyle w:val="InternetLink"/>
                  <w:rFonts w:ascii="Times New Roman;sans-serif" w:hAnsi="Times New Roman;sans-serif"/>
                  <w:b w:val="false"/>
                  <w:strike w:val="false"/>
                  <w:dstrike w:val="false"/>
                  <w:color w:val="000000"/>
                  <w:sz w:val="20"/>
                  <w:u w:val="none"/>
                  <w:effect w:val="none"/>
                </w:rPr>
                <w:t>109</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178">
              <w:r>
                <w:rPr>
                  <w:rStyle w:val="InternetLink"/>
                  <w:rFonts w:ascii="Times New Roman;sans-serif" w:hAnsi="Times New Roman;sans-serif"/>
                  <w:b w:val="false"/>
                  <w:strike w:val="false"/>
                  <w:dstrike w:val="false"/>
                  <w:color w:val="000000"/>
                  <w:sz w:val="20"/>
                  <w:u w:val="none"/>
                  <w:effect w:val="none"/>
                </w:rPr>
                <w:t>Item 14. Principal Accountant Fees and Services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d5dc8e3d79d422bb773229d757a9969_178">
              <w:r>
                <w:rPr>
                  <w:rStyle w:val="InternetLink"/>
                  <w:rFonts w:ascii="Times New Roman;sans-serif" w:hAnsi="Times New Roman;sans-serif"/>
                  <w:b w:val="false"/>
                  <w:strike w:val="false"/>
                  <w:dstrike w:val="false"/>
                  <w:color w:val="000000"/>
                  <w:sz w:val="20"/>
                  <w:u w:val="none"/>
                  <w:effect w:val="none"/>
                </w:rPr>
                <w:t>110</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181">
              <w:r>
                <w:rPr>
                  <w:rStyle w:val="InternetLink"/>
                  <w:rFonts w:ascii="Times New Roman;sans-serif" w:hAnsi="Times New Roman;sans-serif"/>
                  <w:b/>
                  <w:strike w:val="false"/>
                  <w:dstrike w:val="false"/>
                  <w:color w:val="000000"/>
                  <w:sz w:val="20"/>
                  <w:u w:val="none"/>
                  <w:effect w:val="none"/>
                </w:rPr>
                <w:t>PART IV</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184">
              <w:r>
                <w:rPr>
                  <w:rStyle w:val="InternetLink"/>
                  <w:rFonts w:ascii="Times New Roman;sans-serif" w:hAnsi="Times New Roman;sans-serif"/>
                  <w:b w:val="false"/>
                  <w:strike w:val="false"/>
                  <w:dstrike w:val="false"/>
                  <w:color w:val="000000"/>
                  <w:sz w:val="20"/>
                  <w:u w:val="none"/>
                  <w:effect w:val="none"/>
                </w:rPr>
                <w:t>Item 15. Exhibits and Financial Statement Schedules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d5dc8e3d79d422bb773229d757a9969_184">
              <w:r>
                <w:rPr>
                  <w:rStyle w:val="InternetLink"/>
                  <w:rFonts w:ascii="Times New Roman;sans-serif" w:hAnsi="Times New Roman;sans-serif"/>
                  <w:b w:val="false"/>
                  <w:strike w:val="false"/>
                  <w:dstrike w:val="false"/>
                  <w:color w:val="000000"/>
                  <w:sz w:val="20"/>
                  <w:u w:val="none"/>
                  <w:effect w:val="none"/>
                </w:rPr>
                <w:t>110</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187">
              <w:r>
                <w:rPr>
                  <w:rStyle w:val="InternetLink"/>
                  <w:rFonts w:ascii="Times New Roman;sans-serif" w:hAnsi="Times New Roman;sans-serif"/>
                  <w:b w:val="false"/>
                  <w:strike w:val="false"/>
                  <w:dstrike w:val="false"/>
                  <w:color w:val="000000"/>
                  <w:sz w:val="20"/>
                  <w:u w:val="none"/>
                  <w:effect w:val="none"/>
                </w:rPr>
                <w:t>Item 16. Form 10-K Summary</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d5dc8e3d79d422bb773229d757a9969_187">
              <w:r>
                <w:rPr>
                  <w:rStyle w:val="InternetLink"/>
                  <w:rFonts w:ascii="Times New Roman;sans-serif" w:hAnsi="Times New Roman;sans-serif"/>
                  <w:b w:val="false"/>
                  <w:strike w:val="false"/>
                  <w:dstrike w:val="false"/>
                  <w:color w:val="000000"/>
                  <w:sz w:val="20"/>
                  <w:u w:val="none"/>
                  <w:effect w:val="none"/>
                </w:rPr>
                <w:t>114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within the meaning of the U.S.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Annual Report on Form 10-K may be forward-looking statements. The words “anticipates,” “believe(s),” “could,” “contemplates,”, “continue,” “expects,” “estimates,” “forecasts,” “intends,” “may,” “plans,” “projects,” “predicts,” “potential” “should,” “targets,” or “will” and similar expressions or the negative of these terms or expressions are intended to identify forward-looking statements, though not all forward-looking statements use these words or expressions. Forward-looking statements contained in this Annual Report on Form 10-K include, but are not limited to statements regarding our ability to maintain or grow our global sales and bolster our financial position; our expectations surrounding the Velodyne Merger (as defined herein); our ability to maintain or grow our global sales and marketing organization; our expected contractual obligations and capital expenditures; the capabilities of and demand for our products; our anticipated new product launches; our future results of operations and financial position; industry and business trends; the remediation of material weaknesses; the impact of market conditions and other macroeconomic factors on our business, financial condition and results of operation; our future business strategy, plans, distribution partnerships, market growth and our objectives for future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for the fiscal year ended December 31, 2023.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Annual Report on Form 10-K and the documents that we reference in this Annual Report on Form 10-K and have filed as exhibits to this Annual Report on Form 10-K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on Form 10-K. While we may elect to update such forward-looking statements at some point in the future, we disclaim any obligation to do so, even if subsequent events cause our views to change.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requires, references in this Annual Report on Form 10-K to “we”, “our”, “Ouster” and “the Company” refer to the business and operations of Ouster Technologies, Inc. (“OTI”) (formerly known as Ouster, Inc.) and its consolidated subsidiaries prior to the Colonnade Merger (as defined herein) and to Ouster, Inc. (formerly known as Colonnade Acquisition Corp.) and its consolidated subsidiaries following the consummation of the Colonnade Merger.</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21, 2020, OTI entered into an Agreement and Plan of Merger (the “Colonnade Merger Agreement”) with Colonnade Acquisition Corp., a Cayman Islands exempted company (“CLA”), and Beam Merger Sub, Inc. (“Merger Sub”), a Delaware corporation and subsidiary of CLA. OTI’s and CLA’s board of directors unanimously approved OTI’s entry into the Colonnade Merger Agreement, and on March 11, 2021, the transactions contemplated by the Colonnade Merger Agreement were consummated (all such transactions, the “Business Combination”), as further described herein. Pursuant to the terms of the Colonnade Merger Agreement, (i) CLA domesticated as a corporation incorporated under the laws of the State of Delaware (the “Domestication”) and changed its name to “Ouster, Inc.” (with CLA after such domestication and the other transactions pursuant to the Colonnade Merger Agreement being referred to as the “Company”) and (ii) Merger Sub merged with and into OTI (the “Colonnade Merger”), with OTI surviving the Colonnade Merger.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both"/>
        <w:rPr/>
      </w:pPr>
      <w:r>
        <w:rPr>
          <w:rFonts w:ascii="Times New Roman;sans-serif" w:hAnsi="Times New Roman;sans-serif"/>
          <w:b w:val="false"/>
          <w:color w:val="000000"/>
          <w:sz w:val="20"/>
        </w:rPr>
        <w:t xml:space="preserve">We may announce material business and financial information to our investors using our investor relations website at </w:t>
      </w:r>
      <w:r>
        <w:rPr>
          <w:rFonts w:ascii="Times New Roman;sans-serif" w:hAnsi="Times New Roman;sans-serif"/>
          <w:b w:val="false"/>
          <w:i/>
          <w:color w:val="000000"/>
          <w:sz w:val="20"/>
        </w:rPr>
        <w:t>https://investors.ouster.com</w:t>
      </w:r>
      <w:r>
        <w:rPr>
          <w:rFonts w:ascii="Times New Roman;sans-serif" w:hAnsi="Times New Roman;sans-serif"/>
          <w:b w:val="false"/>
          <w:color w:val="000000"/>
          <w:sz w:val="20"/>
        </w:rPr>
        <w:t>. We therefore encourage investors and others interested in Ouster to review the information that we make available on our website, in addition to following our filings with the U.S. Securities and Exchange Commission (“SEC”), webcasts, press releases and conference calls. Information contained on our website is not part of this Annual Report on Form 10-K.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6, 2023, the Company’s Board of Directors approved a one-for-10 reverse stock split and a corresponding reduction in authorized shares of common stock (the “Reverse Stock Split”). On April 20, 2023, the Company filed with the Secretary of State of the State of Delaware a Certificate of Amendment to its Certificate of Incorporation to effect the one-for-10 Reverse Stock Split of the Company’s common stock and a corresponding reduction in authorized shares of common stock. The par value of the Company’s common stock was not adjusted as a result of the Reverse Stock Split. The share and per share information included in this Annual Report of Form 10-K, including the historical share and per share information, has been adjusted to reflect the Reverse Stock Split.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SUMMARY RISK FACTORS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products are frequently used in applications that are subject to evolving regulations and standards.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shd w:fill="FFFFFF" w:val="clear"/>
        </w:rPr>
        <w:t>Our</w:t>
      </w:r>
      <w:r>
        <w:rPr>
          <w:color w:val="000000"/>
          <w:shd w:fill="FFFFFF" w:val="clear"/>
        </w:rPr>
        <w:t xml:space="preserve"> </w:t>
      </w:r>
      <w:r>
        <w:rPr>
          <w:rFonts w:ascii="Times New Roman;sans-serif" w:hAnsi="Times New Roman;sans-serif"/>
          <w:b w:val="false"/>
          <w:color w:val="000000"/>
          <w:sz w:val="20"/>
          <w:shd w:fill="FFFFFF" w:val="clear"/>
        </w:rPr>
        <w:t>limited operating history makes it difficult to evaluate our future prospects and the risks and challenges we may encounter.</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have incurred significant losses to date and may never achieve or sustain profitability. If we are unable to overcome our limited sales history and establish and maintain confidence in our long-term business prospects among customers in our target markets or if our revenue opportunity does not materialize into sales and revenue, then our financial condition, operating results, business prospects and access to capital may suffer materially.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Our revenue and margins could be adversely affected if we fail to maintain competitive average selling prices, high sales volumes, and/or fail to reduce product costs.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We are subject to the risk of cancellation or postponement of our contracts with customers or the unsuccessful implementation of our products, which may adversely affect our business, results of operations and financial condition.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currently target many customers that are large corporations with substantial negotiating power and exacting product standards. If we are unable to sell our products to these customers, our prospects and results of operations will be adversely affected.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compete against established market participants that have substantially greater resources than us and against known and unknown market entrants who may disrupt our target markets. If our products are not selected for inclusion in our target markets, our business will be materially and adversely affected.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Market adoption of lidar remains uncertain, and it is difficult to forecast long-term end-customer adoption rates and demand for our products.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operating results may fluctuate significantly, which makes our future operating results difficult to predict and could cause our operating results to fall below expectations or any guidance we may provide and could cause our stock price to fluctuate or decline.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We may be unable to successfully integrate our business with Velodyne or realize the expected benefits on our expected timeframe or at all.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Key components in our products come from limited or single source third-party suppliers, and we expect to rely on third parties to manufacture a significant portion of our products for the foreseeable future. Interruptions in our relationships with these third parties could adversely impact our business.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face risks related to our indebtedness.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may require additional capital in order to execute our business plan, which may not be available on terms acceptable to us, or at all.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We may not be able to adequately protect or </w:t>
      </w:r>
      <w:r>
        <w:rPr>
          <w:rFonts w:ascii="Times New Roman;sans-serif" w:hAnsi="Times New Roman;sans-serif"/>
          <w:b w:val="false"/>
          <w:color w:val="000000"/>
          <w:sz w:val="20"/>
          <w:shd w:fill="FFFFFF" w:val="clear"/>
        </w:rPr>
        <w:t>enforce</w:t>
      </w:r>
      <w:r>
        <w:rPr>
          <w:color w:val="000000"/>
        </w:rPr>
        <w:t xml:space="preserve"> </w:t>
      </w:r>
      <w:r>
        <w:rPr>
          <w:rFonts w:ascii="Times New Roman;sans-serif" w:hAnsi="Times New Roman;sans-serif"/>
          <w:b w:val="false"/>
          <w:color w:val="000000"/>
          <w:sz w:val="20"/>
        </w:rPr>
        <w:t>our intellectual property rights or prevent competitors or other unauthorized parties from copying or reverse engineering our technology.</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Ouster, Inc. is building the eyes of autonomy. We are a leading global provider of lidar sensors for the automotive, industrial, robotics, and smart infrastructure industries. Ouster’s products include high-resolution scanning and solid-state digital lidar sensors, analog lidar sensors, and software solutions.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that 3D vision technologies, coupled with artificial intelligence, will power new autonomous technologies that in turn will fundamentally disrupt business models across many existing industries and also enable entirely new industries and capabilities. We believe that our digital lidar sensors are one of the highest performing, lowest cost solutions available today, which we believe positions us at the center of a global revolution in autonomy.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four target markets each have unique use cases for our lidar sensors:</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i/>
          <w:color w:val="000000"/>
          <w:sz w:val="20"/>
          <w:u w:val="single"/>
        </w:rPr>
        <w:t>Automotive.</w:t>
      </w:r>
      <w:r>
        <w:rPr>
          <w:color w:val="000000"/>
        </w:rPr>
        <w:t xml:space="preserve"> </w:t>
      </w:r>
      <w:r>
        <w:rPr>
          <w:rFonts w:ascii="Times New Roman;sans-serif" w:hAnsi="Times New Roman;sans-serif"/>
          <w:b w:val="false"/>
          <w:color w:val="000000"/>
          <w:sz w:val="20"/>
        </w:rPr>
        <w:t>The automotive industry is continuing its rapid shift towards advanced/enhanced safety and autonomy features, powered by lidar. We believe we are uniquely positioned to support this transformation. We work with companies across the entire automotive ecosystem, from technology providers to direct automotive parts suppliers and original equipment manufacturers (“OEMs”), to design and manufacture lidar sensors for these advanced vehicle systems.</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i/>
          <w:color w:val="000000"/>
          <w:sz w:val="20"/>
          <w:u w:val="single"/>
          <w:shd w:fill="FFFFFF" w:val="clear"/>
        </w:rPr>
        <w:t>Industrial.</w:t>
      </w:r>
      <w:r>
        <w:rPr>
          <w:color w:val="000000"/>
          <w:shd w:fill="FFFFFF" w:val="clear"/>
        </w:rPr>
        <w:t xml:space="preserve"> </w:t>
      </w:r>
      <w:r>
        <w:rPr>
          <w:rFonts w:ascii="Times New Roman;sans-serif" w:hAnsi="Times New Roman;sans-serif"/>
          <w:b w:val="false"/>
          <w:color w:val="000000"/>
          <w:sz w:val="20"/>
          <w:shd w:fill="FFFFFF" w:val="clear"/>
        </w:rPr>
        <w:t xml:space="preserve">Our industrial customers use our lidar sensor to increase safety and automate operations across the global supply chain, in material handling vehicles at ports and warehouses, in off-highway vehicles in mines and on farms, and in manufacturing equipment in factories. </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i/>
          <w:color w:val="000000"/>
          <w:sz w:val="20"/>
          <w:u w:val="single"/>
        </w:rPr>
        <w:t>Robotics.</w:t>
      </w:r>
      <w:r>
        <w:rPr>
          <w:color w:val="000000"/>
        </w:rPr>
        <w:t xml:space="preserve"> </w:t>
      </w:r>
      <w:r>
        <w:rPr>
          <w:rFonts w:ascii="Times New Roman;sans-serif" w:hAnsi="Times New Roman;sans-serif"/>
          <w:b w:val="false"/>
          <w:color w:val="000000"/>
          <w:sz w:val="20"/>
        </w:rPr>
        <w:t xml:space="preserve">Our robotics customers are pioneering an automated future that can affect many aspects of our daily lives as they take on tasks that are redundant, cumbersome, expensive or dangerous for humans.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u w:val="single"/>
          <w:shd w:fill="FFFFFF" w:val="clear"/>
        </w:rPr>
        <w:t>Smart infrastructure.</w:t>
      </w:r>
      <w:r>
        <w:rPr>
          <w:color w:val="000000"/>
          <w:shd w:fill="FFFFFF" w:val="clear"/>
        </w:rPr>
        <w:t xml:space="preserve"> </w:t>
      </w:r>
      <w:r>
        <w:rPr>
          <w:rFonts w:ascii="Times New Roman;sans-serif" w:hAnsi="Times New Roman;sans-serif"/>
          <w:b w:val="false"/>
          <w:color w:val="000000"/>
          <w:sz w:val="20"/>
          <w:shd w:fill="FFFFFF" w:val="clear"/>
        </w:rPr>
        <w:t xml:space="preserve">Our smart infrastructure customers are in both the public and private sector. Cities are prioritizing safety and efficiency through the use lidar </w:t>
      </w:r>
      <w:r>
        <w:rPr>
          <w:rFonts w:ascii="Times New Roman;sans-serif" w:hAnsi="Times New Roman;sans-serif"/>
          <w:b w:val="false"/>
          <w:color w:val="000000"/>
          <w:sz w:val="20"/>
        </w:rPr>
        <w:t>technology</w:t>
      </w:r>
      <w:r>
        <w:rPr>
          <w:color w:val="000000"/>
          <w:shd w:fill="FFFFFF" w:val="clear"/>
        </w:rPr>
        <w:t xml:space="preserve"> </w:t>
      </w:r>
      <w:r>
        <w:rPr>
          <w:rFonts w:ascii="Times New Roman;sans-serif" w:hAnsi="Times New Roman;sans-serif"/>
          <w:b w:val="false"/>
          <w:color w:val="000000"/>
          <w:sz w:val="20"/>
          <w:shd w:fill="FFFFFF" w:val="clear"/>
        </w:rPr>
        <w:t xml:space="preserve">on traffic lights and warning systems. In this sense, we believe our products can enhance public welfare through security and smart city applications. Security companies are also looking to improve intrusion detection and tracking by augmenting existing CCTV systems with the spatial tracking capabilities of lidar. We believe these markets present a significant growth opportunity for us, as they touch many aspects of our daily lives.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envision a future where our digital technology enables lidar to become universal, playing a key role in the autonomy revolution that will change many aspects of our economy and daily lives. We believe our lidar can empower 3D perception capabilities within robots, cars, trucks and drones, as well as factories, warehouses, roads, sidewalks, public spaces, retail stores, stadiums, docks, and airport terminals. We believe our patented digital approach to lidar positions us to be at the epicenter of this societal shift, and we anticipate that our software-defined product architecture can accelerate adoption and unlock more applications for lidar in our target markets.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simplicity of our digital lidar design gives us meaningful cost advantages in manufacturing, supply chain, and production yields. Our broad software-defined customization enables us to introduce industry-specific applications and expand our product offerings with minimal changes to manufacturing or inventory. Our main manufacturing partners are Benchmark Electronics, Inc. (“Benchmark”) and Fabrinet. Benchmark and Fabrinet manufacture the majority of our products, which we expect will reduce our product costs and allow us to rapidly scale production to meet our anticipated product demand. Based on cost quotes for our products in mass production, we anticipate our manufacturing costs per unit will decrease as production volumes increase.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mission to make the physical world safer and more efficient is aligned with our focus on sustainability now and into the future. We believe that our lidar technology is a key enabler of sustainable solutions, empowering our customers to achieve greater levels of automation which have been shown to have the potential to significantly reduce global carbon dioxide emissions and help curb the effects of climate change. Likewise, smart city initiatives powered by lidar can better manage traffic, reduce commute times, and further reduce emissions.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10, 2023, Ouster completed the merger (the “Velodyne Merger”) with Velodyne Lidar, Inc. (“Velodyne”) pursuant to the terms of the Agreement and Plan of Merger, dated as of November 4, 2022 (the “Velodyne Merger Agreement”). As a result, we currently offer two digital lidar product lines, the OS scanning sensors and the DF solid-state flash sensors, along with certain analog sensors of the Puck family and the Alpha Prime.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success, competitive advantages, and growth prospects depend in part upon our ability to develop and protect our core technology and intellectual property. Since our inception, we have heavily invested in our patent portfolio by pursuing comprehensive coverage of invention families, use cases, and broad international coverage. Being at the forefront of innovation in the lidar market depends in part on our ability to obtain and maintain patents and other proprietary rights relating to our key technology, and our ability to successfully enforce these rights against third parties. We currently have proprietary intellectual property for both our digital and analog products, including in our embedded software, real-time 3D vision for autonomous systems, manufacturing processes and calibration methodology. We have also filed patents and trademark applications in order to further secure these rights and strengthen our ability to defend against third parties who may infringe on our rights. We also rely on trade secrets, design and manufacturing know-how, and continuing technological innovations to maintain and improve our competitive position.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we have built a portfolio of intellectual property, including issued patents and registered trademarks, copyrights, confidential technical information, and expertise in the development of lidar technology and software. As of December 31, 2023 we had 132 U.S. issued patents and 109 pending applications along with 102 foreign issued patents and 264 pending applications.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protect our proprietary rights through agreements with our commercial partners, supply chain vendors, employees, and consultants, and by closely monitoring the developments and products in the industry; and in addition to actively seeking patent protection covering inventions originating from us, we continually evaluate opportunities to acquire or in-license patents to the extent we believe such patents are useful or relevant to our business. By leveraging our deep knowledge of lidar technology, we have invented and patented an integrated, semiconductor-based lidar technology, which for our digital products consists of the following key features: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Patented digital lidar architecture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patents contain a broad range of claims related to devices and methods for implementing digital lidar, among other things. Our patents cover our micro-optic technology that enables improved digital lidar performance; our digital lidar architecture combining vertical cavity surface emitting lasers (“VCSEL”) and single photon avalanche diodes (“SPAD”); our data processing circuits for in-silicon digital signal processing; and our lidar-camera convergence, combining active and passive sensing technologies. We believe these technology breakthroughs are central to our competitive advantage and dramatically improve sensor performance.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digital lidar systems are based on a simplified architecture that, combined with embedded software, provides high resolution and reliability for our high-performance Ouster Sensor (“OS”) and Digital Flash (“DF”) product lines. We also plan to continue to manufacture certain analog sensors of the Puck family and the Alpha Prime that we acquired from the Velodyne Merger.</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Custom system-on-a-chip (“SoC”) with SPAD detectors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sensors contain a custom-designed SoC that replaces the functionality of hundreds of discrete analog components and integrates those capabilities onto a single complementary metal-oxide-semiconductor (“CMOS”) chip.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our OS product line, we are currently on our fifth-generation SoC, “L3”, which combines significant processing power with a 128-channel SPAD array onto a single piece of silicon and powers all of our REV7 products. Our SoC is capable of counting individual photons in order to detect very weak laser light pulses from long range targets. This digital SPAD-based approach enables our OS sensors to be compact, high-performance, and low-cost in order to provide advanced autonomy functionality to our industrial, robotics, smart infrastructure, and automotive customers.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DF product line currently features our first generation CMOS SoC for solid-state sensors. In 2021, we announced our second generation DF SoC, “Chronos”. Powered by this chip, the solid-state DF product line features short, medium, and long-range sensing options that we believe has the potential to meet the performance, reliability, design, and cost requirements of global automotive OEMs.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Vertical cavity surface emitting laser array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Paired with our digital SPAD SoC is an array of VCSELs. By using VCSEL technology, we can place our laser emitters into a dense array. This dense, compact approach enables us to increase our resolution without increasing the size or complexity of our sensors.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Patented micro-optical system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detector SoC and VCSEL array, our sensors feature patented micro-optical systems that enhance the performance of both our emitters and detectors. The combined effect of these micro-optical systems on sensor performance is equivalent to an increase in detector efficiency of multiple orders of magnitude. We believe this breakthrough intellectual property gives us significant competitive advantages over other companies.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Embedded software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existing embedded software is field-upgradeable, which enables us to customize and improve our sensor’s capabilities. We believe that the flexibility of this existing embedded software, together with embedded software that we develop in the future, will create an avenue for software-based enhancements of performance and customization of our products that will be capable of addressing myriad end-market customers’ specific technical requirements.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Our Product Portfolio</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Using an array of eye-safe lasers, our lidar solutions measure distances in the environment at the speed of light. Unlike camera-based solutions, lidar solutions allow machines to see in 3D by providing precise distance measurements of surrounding objects. Lidar also performs better than cameras in low light conditions and produces fewer errors. Compared to radar, lidar provides better resolution, perceiving objects’ shapes for superior object detection and classification. Lidar systems are designed to detect pedestrians equally well during daytime and nighttime conditions because the systems provide self-illumination by means of laser beams.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of 2021, Ouster acquired Sense Photonics, Inc. (“Sense”) a developer of solid-state flash lidar based on VCSEL and SPAD technology. This acquisition enables the development of our DF sensor line which leverages technology and engineering expertise from both companies. In February 2023, Ouster merged with Velodyne, a global player in lidar sensors solutions. As a result, we currently offer two digital lidar product lines, the OS scanning sensors and the DF solid-state flash sensors, along with certain analog sensors of the Puck family and the Alpha Prime.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OS Product line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Introduced in 2018, the OS product line, based on our fifth-generation L3 SoC, is available in four different models to meet the needs of our end customers. The model options include the hemispheric field of view OSDome, the ultra-wide view “OS0,” the mid-range “OS1,” and the long-range “OS2.” Within each of these models, we offer numerous configuration options, including but not limited to different resolutions, connection standards, and data output structures. As we continue to release new generations of the silicon CMOS SoCs that power the OS product line, we expect the performance of the sensors to improve.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2022, we announced the launch of our newest OS series scanning sensors, REV7, powered by our next-generation L3 chip. REV7 features the OSDome sensor, as well as upgraded OS0, OS1, and OS2 sensors that deliver double the range, enhanced object detection, increased precision and accuracy, and greater reliability. The REV7 sensors offer performance upgrades that we believe will enhance our market opportunity, driven by opportunities for longer-range and mapping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tbl>
      <w:tblPr>
        <w:tblW w:w="10205" w:type="dxa"/>
        <w:jc w:val="left"/>
        <w:tblInd w:w="0" w:type="dxa"/>
        <w:tblLayout w:type="fixed"/>
        <w:tblCellMar>
          <w:top w:w="28" w:type="dxa"/>
          <w:left w:w="28" w:type="dxa"/>
          <w:bottom w:w="28" w:type="dxa"/>
          <w:right w:w="28" w:type="dxa"/>
        </w:tblCellMar>
      </w:tblPr>
      <w:tblGrid>
        <w:gridCol w:w="1722"/>
        <w:gridCol w:w="1514"/>
        <w:gridCol w:w="1515"/>
        <w:gridCol w:w="1594"/>
        <w:gridCol w:w="1594"/>
        <w:gridCol w:w="2266"/>
      </w:tblGrid>
      <w:tr>
        <w:trPr/>
        <w:tc>
          <w:tcPr>
            <w:tcW w:w="1722"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475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952750" cy="164782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2952750" cy="1647825"/>
                          </a:xfrm>
                          <a:prstGeom prst="rect">
                            <a:avLst/>
                          </a:prstGeom>
                        </pic:spPr>
                      </pic:pic>
                    </a:graphicData>
                  </a:graphic>
                </wp:inline>
              </w:drawing>
            </w:r>
          </w:p>
        </w:tc>
        <w:tc>
          <w:tcPr>
            <w:tcW w:w="5454" w:type="dxa"/>
            <w:gridSpan w:val="3"/>
            <w:tcBorders/>
            <w:tcMar>
              <w:top w:w="0" w:type="dxa"/>
              <w:left w:w="0" w:type="dxa"/>
              <w:bottom w:w="0" w:type="dxa"/>
              <w:right w:w="0" w:type="dxa"/>
            </w:tcMar>
            <w:vAlign w:val="center"/>
          </w:tcPr>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Resolution options (channels): </w:t>
            </w:r>
            <w:r>
              <w:rPr>
                <w:rFonts w:ascii="Times New Roman;sans-serif" w:hAnsi="Times New Roman;sans-serif"/>
                <w:b w:val="false"/>
                <w:color w:val="000000"/>
                <w:sz w:val="20"/>
              </w:rPr>
              <w:t>64 and 128</w:t>
            </w:r>
          </w:p>
          <w:p>
            <w:pPr>
              <w:pStyle w:val="TableContents"/>
              <w:bidi w:val="0"/>
              <w:spacing w:lineRule="auto" w:line="268" w:before="0" w:after="0"/>
              <w:ind w:left="0" w:right="0" w:hanging="360"/>
              <w:jc w:val="left"/>
              <w:rPr/>
            </w:pPr>
            <w:r>
              <w:rPr>
                <w:color w:val="000000"/>
              </w:rPr>
              <w:t>•</w:t>
            </w:r>
            <w:r>
              <w:rPr>
                <w:rFonts w:ascii="Times New Roman;sans-serif" w:hAnsi="Times New Roman;sans-serif"/>
                <w:b/>
                <w:color w:val="000000"/>
                <w:sz w:val="20"/>
              </w:rPr>
              <w:t>Range (@ 80% reflectivity):</w:t>
            </w:r>
            <w:r>
              <w:rPr>
                <w:color w:val="000000"/>
              </w:rPr>
              <w:t xml:space="preserve"> </w:t>
            </w:r>
            <w:r>
              <w:rPr>
                <w:rFonts w:ascii="Times New Roman;sans-serif" w:hAnsi="Times New Roman;sans-serif"/>
                <w:b w:val="false"/>
                <w:color w:val="000000"/>
                <w:sz w:val="20"/>
              </w:rPr>
              <w:t xml:space="preserve">45 meters </w:t>
            </w:r>
          </w:p>
          <w:p>
            <w:pPr>
              <w:pStyle w:val="TableContents"/>
              <w:bidi w:val="0"/>
              <w:spacing w:lineRule="auto" w:line="268" w:before="0" w:after="0"/>
              <w:ind w:left="0" w:right="0" w:hanging="360"/>
              <w:jc w:val="left"/>
              <w:rPr/>
            </w:pPr>
            <w:r>
              <w:rPr>
                <w:color w:val="000000"/>
              </w:rPr>
              <w:t>•</w:t>
            </w:r>
            <w:r>
              <w:rPr>
                <w:rFonts w:ascii="Times New Roman;sans-serif" w:hAnsi="Times New Roman;sans-serif"/>
                <w:b/>
                <w:color w:val="000000"/>
                <w:sz w:val="20"/>
              </w:rPr>
              <w:t xml:space="preserve">Field of View (FoV): </w:t>
            </w:r>
            <w:r>
              <w:rPr>
                <w:rFonts w:ascii="Times New Roman;sans-serif" w:hAnsi="Times New Roman;sans-serif"/>
                <w:b w:val="false"/>
                <w:color w:val="000000"/>
                <w:sz w:val="20"/>
              </w:rPr>
              <w:t>90° vertical FoV &amp; 360° horizontal FoV</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Horizontal resolution (@ 10 Hz): </w:t>
            </w:r>
            <w:r>
              <w:rPr>
                <w:rFonts w:ascii="Times New Roman;sans-serif" w:hAnsi="Times New Roman;sans-serif"/>
                <w:b w:val="false"/>
                <w:color w:val="000000"/>
                <w:sz w:val="20"/>
              </w:rPr>
              <w:t>2048</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Precision: </w:t>
            </w:r>
            <w:r>
              <w:rPr>
                <w:rFonts w:ascii="Times New Roman;sans-serif" w:hAnsi="Times New Roman;sans-serif"/>
                <w:b w:val="false"/>
                <w:color w:val="000000"/>
                <w:sz w:val="20"/>
              </w:rPr>
              <w:t>up to ±1.0 cm</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Points per second (@128 channels):</w:t>
            </w:r>
            <w:r>
              <w:rPr>
                <w:color w:val="000000"/>
              </w:rPr>
              <w:t xml:space="preserve"> </w:t>
            </w:r>
            <w:r>
              <w:rPr>
                <w:rFonts w:ascii="Times New Roman;sans-serif" w:hAnsi="Times New Roman;sans-serif"/>
                <w:b w:val="false"/>
                <w:color w:val="000000"/>
                <w:sz w:val="20"/>
              </w:rPr>
              <w:t>5.2 million</w:t>
            </w:r>
          </w:p>
          <w:p>
            <w:pPr>
              <w:pStyle w:val="TableContents"/>
              <w:bidi w:val="0"/>
              <w:spacing w:lineRule="auto" w:line="240" w:before="120" w:after="283"/>
              <w:ind w:left="0" w:right="0" w:hanging="360"/>
              <w:jc w:val="left"/>
              <w:rPr/>
            </w:pPr>
            <w:r>
              <w:rPr>
                <w:color w:val="000000"/>
              </w:rPr>
              <w:t>• </w:t>
            </w:r>
            <w:r>
              <w:rPr>
                <w:rFonts w:ascii="Times New Roman;sans-serif" w:hAnsi="Times New Roman;sans-serif"/>
                <w:b/>
                <w:color w:val="000000"/>
                <w:sz w:val="20"/>
              </w:rPr>
              <w:t xml:space="preserve">Power consumption: </w:t>
            </w:r>
            <w:r>
              <w:rPr>
                <w:rFonts w:ascii="Times New Roman;sans-serif" w:hAnsi="Times New Roman;sans-serif"/>
                <w:b w:val="false"/>
                <w:color w:val="000000"/>
                <w:sz w:val="20"/>
              </w:rPr>
              <w:t>14 – 20 W</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Environmental protection: </w:t>
            </w:r>
            <w:r>
              <w:rPr>
                <w:rFonts w:ascii="Times New Roman;sans-serif" w:hAnsi="Times New Roman;sans-serif"/>
                <w:b w:val="false"/>
                <w:color w:val="000000"/>
                <w:sz w:val="20"/>
              </w:rPr>
              <w:t>IP68, IP69K</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Customization options: </w:t>
            </w:r>
            <w:r>
              <w:rPr>
                <w:rFonts w:ascii="Times New Roman;sans-serif" w:hAnsi="Times New Roman;sans-serif"/>
                <w:b w:val="false"/>
                <w:color w:val="000000"/>
                <w:sz w:val="20"/>
              </w:rPr>
              <w:t>30+</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Illustrative use cases: </w:t>
            </w:r>
            <w:r>
              <w:rPr>
                <w:rFonts w:ascii="Times New Roman;sans-serif" w:hAnsi="Times New Roman;sans-serif"/>
                <w:b w:val="false"/>
                <w:color w:val="000000"/>
                <w:sz w:val="20"/>
              </w:rPr>
              <w:t>Factory AGVs, Automated forklifts, Building security, Crowd analytics, Retail analytics</w:t>
            </w:r>
          </w:p>
        </w:tc>
      </w:tr>
      <w:tr>
        <w:trPr/>
        <w:tc>
          <w:tcPr>
            <w:tcW w:w="475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857500" cy="16002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2857500" cy="1600200"/>
                          </a:xfrm>
                          <a:prstGeom prst="rect">
                            <a:avLst/>
                          </a:prstGeom>
                        </pic:spPr>
                      </pic:pic>
                    </a:graphicData>
                  </a:graphic>
                </wp:inline>
              </w:drawing>
            </w:r>
          </w:p>
        </w:tc>
        <w:tc>
          <w:tcPr>
            <w:tcW w:w="5454" w:type="dxa"/>
            <w:gridSpan w:val="3"/>
            <w:tcBorders/>
            <w:tcMar>
              <w:top w:w="0" w:type="dxa"/>
              <w:left w:w="0" w:type="dxa"/>
              <w:bottom w:w="0" w:type="dxa"/>
              <w:right w:w="0" w:type="dxa"/>
            </w:tcMar>
            <w:vAlign w:val="center"/>
          </w:tcPr>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Resolution options (channels): </w:t>
            </w:r>
            <w:r>
              <w:rPr>
                <w:rFonts w:ascii="Times New Roman;sans-serif" w:hAnsi="Times New Roman;sans-serif"/>
                <w:b w:val="false"/>
                <w:color w:val="000000"/>
                <w:sz w:val="20"/>
              </w:rPr>
              <w:t>32, 64 and 128</w:t>
            </w:r>
          </w:p>
          <w:p>
            <w:pPr>
              <w:pStyle w:val="TableContents"/>
              <w:bidi w:val="0"/>
              <w:spacing w:lineRule="auto" w:line="268" w:before="0" w:after="0"/>
              <w:ind w:left="0" w:right="0" w:hanging="360"/>
              <w:jc w:val="left"/>
              <w:rPr/>
            </w:pPr>
            <w:r>
              <w:rPr>
                <w:color w:val="000000"/>
              </w:rPr>
              <w:t>•</w:t>
            </w:r>
            <w:r>
              <w:rPr>
                <w:rFonts w:ascii="Times New Roman;sans-serif" w:hAnsi="Times New Roman;sans-serif"/>
                <w:b/>
                <w:color w:val="000000"/>
                <w:sz w:val="20"/>
              </w:rPr>
              <w:t xml:space="preserve">Range (@ 80% reflectivity): </w:t>
            </w:r>
            <w:r>
              <w:rPr>
                <w:rFonts w:ascii="Times New Roman;sans-serif" w:hAnsi="Times New Roman;sans-serif"/>
                <w:b w:val="false"/>
                <w:color w:val="000000"/>
                <w:sz w:val="20"/>
              </w:rPr>
              <w:t xml:space="preserve">75 meters </w:t>
            </w:r>
          </w:p>
          <w:p>
            <w:pPr>
              <w:pStyle w:val="TableContents"/>
              <w:bidi w:val="0"/>
              <w:spacing w:lineRule="auto" w:line="268" w:before="0" w:after="0"/>
              <w:ind w:left="0" w:right="0" w:hanging="360"/>
              <w:jc w:val="left"/>
              <w:rPr/>
            </w:pPr>
            <w:r>
              <w:rPr>
                <w:color w:val="000000"/>
              </w:rPr>
              <w:t>•</w:t>
            </w:r>
            <w:r>
              <w:rPr>
                <w:rFonts w:ascii="Times New Roman;sans-serif" w:hAnsi="Times New Roman;sans-serif"/>
                <w:b/>
                <w:color w:val="000000"/>
                <w:sz w:val="20"/>
              </w:rPr>
              <w:t xml:space="preserve">Field of View (FoV): </w:t>
            </w:r>
            <w:r>
              <w:rPr>
                <w:rFonts w:ascii="Times New Roman;sans-serif" w:hAnsi="Times New Roman;sans-serif"/>
                <w:b w:val="false"/>
                <w:color w:val="000000"/>
                <w:sz w:val="20"/>
              </w:rPr>
              <w:t>90° vertical FoV &amp; 360° horizontal FoV</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Horizontal resolution (@ 10 Hz): </w:t>
            </w:r>
            <w:r>
              <w:rPr>
                <w:rFonts w:ascii="Times New Roman;sans-serif" w:hAnsi="Times New Roman;sans-serif"/>
                <w:b w:val="false"/>
                <w:color w:val="000000"/>
                <w:sz w:val="20"/>
              </w:rPr>
              <w:t>2048</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Precision: </w:t>
            </w:r>
            <w:r>
              <w:rPr>
                <w:rFonts w:ascii="Times New Roman;sans-serif" w:hAnsi="Times New Roman;sans-serif"/>
                <w:b w:val="false"/>
                <w:color w:val="000000"/>
                <w:sz w:val="20"/>
              </w:rPr>
              <w:t>up to ±1.0 cm</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Points per second (@128 channels): </w:t>
            </w:r>
            <w:r>
              <w:rPr>
                <w:rFonts w:ascii="Times New Roman;sans-serif" w:hAnsi="Times New Roman;sans-serif"/>
                <w:b w:val="false"/>
                <w:color w:val="000000"/>
                <w:sz w:val="20"/>
              </w:rPr>
              <w:t>5.2 million</w:t>
            </w:r>
          </w:p>
          <w:p>
            <w:pPr>
              <w:pStyle w:val="TableContents"/>
              <w:bidi w:val="0"/>
              <w:spacing w:lineRule="auto" w:line="240" w:before="120" w:after="283"/>
              <w:ind w:left="0" w:right="0" w:hanging="360"/>
              <w:jc w:val="left"/>
              <w:rPr/>
            </w:pPr>
            <w:r>
              <w:rPr>
                <w:color w:val="000000"/>
              </w:rPr>
              <w:t>• </w:t>
            </w:r>
            <w:r>
              <w:rPr>
                <w:rFonts w:ascii="Times New Roman;sans-serif" w:hAnsi="Times New Roman;sans-serif"/>
                <w:b/>
                <w:color w:val="000000"/>
                <w:sz w:val="20"/>
              </w:rPr>
              <w:t xml:space="preserve">Power consumption: </w:t>
            </w:r>
            <w:r>
              <w:rPr>
                <w:rFonts w:ascii="Times New Roman;sans-serif" w:hAnsi="Times New Roman;sans-serif"/>
                <w:b w:val="false"/>
                <w:color w:val="000000"/>
                <w:sz w:val="20"/>
              </w:rPr>
              <w:t>14 – 20 W</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Environmental protection: </w:t>
            </w:r>
            <w:r>
              <w:rPr>
                <w:rFonts w:ascii="Times New Roman;sans-serif" w:hAnsi="Times New Roman;sans-serif"/>
                <w:b w:val="false"/>
                <w:color w:val="000000"/>
                <w:sz w:val="20"/>
              </w:rPr>
              <w:t>IP68, IP69K</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Customization options: </w:t>
            </w:r>
            <w:r>
              <w:rPr>
                <w:rFonts w:ascii="Times New Roman;sans-serif" w:hAnsi="Times New Roman;sans-serif"/>
                <w:b w:val="false"/>
                <w:color w:val="000000"/>
                <w:sz w:val="20"/>
              </w:rPr>
              <w:t>30+</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Illustrative use cases: </w:t>
            </w:r>
            <w:r>
              <w:rPr>
                <w:rFonts w:ascii="Times New Roman;sans-serif" w:hAnsi="Times New Roman;sans-serif"/>
                <w:b w:val="false"/>
                <w:color w:val="000000"/>
                <w:sz w:val="20"/>
              </w:rPr>
              <w:t>Factory AGVs, Automated forklifts, Robo-taxis, Building security, Autonomous shuttles, Anonymous People counting</w:t>
            </w:r>
          </w:p>
        </w:tc>
      </w:tr>
      <w:tr>
        <w:trPr/>
        <w:tc>
          <w:tcPr>
            <w:tcW w:w="475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857500" cy="1600200"/>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2857500" cy="1600200"/>
                          </a:xfrm>
                          <a:prstGeom prst="rect">
                            <a:avLst/>
                          </a:prstGeom>
                        </pic:spPr>
                      </pic:pic>
                    </a:graphicData>
                  </a:graphic>
                </wp:inline>
              </w:drawing>
            </w:r>
          </w:p>
        </w:tc>
        <w:tc>
          <w:tcPr>
            <w:tcW w:w="5454" w:type="dxa"/>
            <w:gridSpan w:val="3"/>
            <w:tcBorders/>
            <w:tcMar>
              <w:top w:w="0" w:type="dxa"/>
              <w:left w:w="0" w:type="dxa"/>
              <w:bottom w:w="0" w:type="dxa"/>
              <w:right w:w="0" w:type="dxa"/>
            </w:tcMar>
            <w:vAlign w:val="center"/>
          </w:tcPr>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Resolution options (channels): </w:t>
            </w:r>
            <w:r>
              <w:rPr>
                <w:rFonts w:ascii="Times New Roman;sans-serif" w:hAnsi="Times New Roman;sans-serif"/>
                <w:b w:val="false"/>
                <w:color w:val="000000"/>
                <w:sz w:val="20"/>
              </w:rPr>
              <w:t>32, 64 and 128</w:t>
            </w:r>
          </w:p>
          <w:p>
            <w:pPr>
              <w:pStyle w:val="TableContents"/>
              <w:bidi w:val="0"/>
              <w:spacing w:lineRule="auto" w:line="240" w:before="120" w:after="283"/>
              <w:ind w:left="0" w:right="0" w:hanging="360"/>
              <w:jc w:val="left"/>
              <w:rPr/>
            </w:pPr>
            <w:r>
              <w:rPr>
                <w:color w:val="000000"/>
              </w:rPr>
              <w:t>• </w:t>
            </w:r>
            <w:r>
              <w:rPr>
                <w:rFonts w:ascii="Times New Roman;sans-serif" w:hAnsi="Times New Roman;sans-serif"/>
                <w:b/>
                <w:color w:val="000000"/>
                <w:sz w:val="20"/>
              </w:rPr>
              <w:t>Range (@80% reflectivity):</w:t>
            </w:r>
            <w:r>
              <w:rPr>
                <w:color w:val="000000"/>
              </w:rPr>
              <w:t xml:space="preserve"> </w:t>
            </w:r>
            <w:r>
              <w:rPr>
                <w:rFonts w:ascii="Times New Roman;sans-serif" w:hAnsi="Times New Roman;sans-serif"/>
                <w:b w:val="false"/>
                <w:color w:val="000000"/>
                <w:sz w:val="20"/>
              </w:rPr>
              <w:t>170 meters</w:t>
            </w:r>
          </w:p>
          <w:p>
            <w:pPr>
              <w:pStyle w:val="TableContents"/>
              <w:bidi w:val="0"/>
              <w:spacing w:lineRule="auto" w:line="240" w:before="120" w:after="283"/>
              <w:ind w:left="0" w:right="0" w:hanging="360"/>
              <w:jc w:val="left"/>
              <w:rPr/>
            </w:pPr>
            <w:r>
              <w:rPr>
                <w:color w:val="000000"/>
              </w:rPr>
              <w:t>• </w:t>
            </w:r>
            <w:r>
              <w:rPr>
                <w:rFonts w:ascii="Times New Roman;sans-serif" w:hAnsi="Times New Roman;sans-serif"/>
                <w:b/>
                <w:color w:val="000000"/>
                <w:sz w:val="20"/>
              </w:rPr>
              <w:t>FoV:</w:t>
            </w:r>
            <w:r>
              <w:rPr>
                <w:color w:val="000000"/>
              </w:rPr>
              <w:t xml:space="preserve"> </w:t>
            </w:r>
            <w:r>
              <w:rPr>
                <w:rFonts w:ascii="Times New Roman;sans-serif" w:hAnsi="Times New Roman;sans-serif"/>
                <w:b w:val="false"/>
                <w:color w:val="000000"/>
                <w:sz w:val="20"/>
              </w:rPr>
              <w:t>45° vertical FoV &amp; 360° horizontal FoV</w:t>
            </w:r>
          </w:p>
          <w:p>
            <w:pPr>
              <w:pStyle w:val="TableContents"/>
              <w:bidi w:val="0"/>
              <w:spacing w:lineRule="auto" w:line="240" w:before="120" w:after="283"/>
              <w:ind w:left="0" w:right="0" w:hanging="360"/>
              <w:jc w:val="left"/>
              <w:rPr/>
            </w:pPr>
            <w:r>
              <w:rPr>
                <w:color w:val="000000"/>
              </w:rPr>
              <w:t>• </w:t>
            </w:r>
            <w:r>
              <w:rPr>
                <w:rFonts w:ascii="Times New Roman;sans-serif" w:hAnsi="Times New Roman;sans-serif"/>
                <w:b/>
                <w:color w:val="000000"/>
                <w:sz w:val="20"/>
              </w:rPr>
              <w:t>Horizontal resolution (@ 10 Hz)</w:t>
            </w:r>
            <w:r>
              <w:rPr>
                <w:rFonts w:ascii="Times New Roman;sans-serif" w:hAnsi="Times New Roman;sans-serif"/>
                <w:b w:val="false"/>
                <w:color w:val="000000"/>
                <w:sz w:val="20"/>
              </w:rPr>
              <w:t>: 2048</w:t>
            </w:r>
          </w:p>
          <w:p>
            <w:pPr>
              <w:pStyle w:val="TableContents"/>
              <w:bidi w:val="0"/>
              <w:spacing w:lineRule="auto" w:line="240" w:before="120" w:after="283"/>
              <w:ind w:left="0" w:right="0" w:hanging="360"/>
              <w:jc w:val="left"/>
              <w:rPr/>
            </w:pPr>
            <w:r>
              <w:rPr>
                <w:color w:val="000000"/>
              </w:rPr>
              <w:t>• </w:t>
            </w:r>
            <w:r>
              <w:rPr>
                <w:rFonts w:ascii="Times New Roman;sans-serif" w:hAnsi="Times New Roman;sans-serif"/>
                <w:b/>
                <w:color w:val="000000"/>
                <w:sz w:val="20"/>
              </w:rPr>
              <w:t>Precision</w:t>
            </w:r>
            <w:r>
              <w:rPr>
                <w:rFonts w:ascii="Times New Roman;sans-serif" w:hAnsi="Times New Roman;sans-serif"/>
                <w:b w:val="false"/>
                <w:color w:val="000000"/>
                <w:sz w:val="20"/>
              </w:rPr>
              <w:t>: up to ±0.5 cm</w:t>
            </w:r>
          </w:p>
          <w:p>
            <w:pPr>
              <w:pStyle w:val="TableContents"/>
              <w:bidi w:val="0"/>
              <w:spacing w:lineRule="auto" w:line="240" w:before="120" w:after="283"/>
              <w:ind w:left="0" w:right="0" w:hanging="360"/>
              <w:jc w:val="left"/>
              <w:rPr/>
            </w:pPr>
            <w:r>
              <w:rPr>
                <w:color w:val="000000"/>
              </w:rPr>
              <w:t>• </w:t>
            </w:r>
            <w:r>
              <w:rPr>
                <w:rFonts w:ascii="Times New Roman;sans-serif" w:hAnsi="Times New Roman;sans-serif"/>
                <w:b/>
                <w:color w:val="000000"/>
                <w:sz w:val="20"/>
              </w:rPr>
              <w:t>Points per second</w:t>
            </w:r>
            <w:r>
              <w:rPr>
                <w:rFonts w:ascii="Times New Roman;sans-serif" w:hAnsi="Times New Roman;sans-serif"/>
                <w:b w:val="false"/>
                <w:color w:val="000000"/>
                <w:sz w:val="20"/>
              </w:rPr>
              <w:t>: 5.2 million</w:t>
            </w:r>
          </w:p>
          <w:p>
            <w:pPr>
              <w:pStyle w:val="TableContents"/>
              <w:bidi w:val="0"/>
              <w:spacing w:lineRule="auto" w:line="240" w:before="120" w:after="283"/>
              <w:ind w:left="0" w:right="0" w:hanging="360"/>
              <w:jc w:val="left"/>
              <w:rPr/>
            </w:pPr>
            <w:r>
              <w:rPr>
                <w:color w:val="000000"/>
              </w:rPr>
              <w:t>• </w:t>
            </w:r>
            <w:r>
              <w:rPr>
                <w:rFonts w:ascii="Times New Roman;sans-serif" w:hAnsi="Times New Roman;sans-serif"/>
                <w:b/>
                <w:color w:val="000000"/>
                <w:sz w:val="20"/>
              </w:rPr>
              <w:t>Power consumption:</w:t>
            </w:r>
            <w:r>
              <w:rPr>
                <w:color w:val="000000"/>
              </w:rPr>
              <w:t xml:space="preserve"> </w:t>
            </w:r>
            <w:r>
              <w:rPr>
                <w:rFonts w:ascii="Times New Roman;sans-serif" w:hAnsi="Times New Roman;sans-serif"/>
                <w:b w:val="false"/>
                <w:color w:val="000000"/>
                <w:sz w:val="20"/>
              </w:rPr>
              <w:t>14 – 20 W</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Environmental protection:</w:t>
            </w:r>
            <w:r>
              <w:rPr>
                <w:color w:val="000000"/>
              </w:rPr>
              <w:t xml:space="preserve"> </w:t>
            </w:r>
            <w:r>
              <w:rPr>
                <w:rFonts w:ascii="Times New Roman;sans-serif" w:hAnsi="Times New Roman;sans-serif"/>
                <w:b w:val="false"/>
                <w:color w:val="000000"/>
                <w:sz w:val="20"/>
              </w:rPr>
              <w:t>IP68, IP69K </w:t>
            </w:r>
          </w:p>
          <w:p>
            <w:pPr>
              <w:pStyle w:val="TableContents"/>
              <w:bidi w:val="0"/>
              <w:spacing w:lineRule="auto" w:line="240" w:before="120" w:after="283"/>
              <w:ind w:left="0" w:right="0" w:hanging="360"/>
              <w:jc w:val="left"/>
              <w:rPr/>
            </w:pPr>
            <w:r>
              <w:rPr>
                <w:color w:val="000000"/>
              </w:rPr>
              <w:t>• </w:t>
            </w:r>
            <w:r>
              <w:rPr>
                <w:rFonts w:ascii="Times New Roman;sans-serif" w:hAnsi="Times New Roman;sans-serif"/>
                <w:b/>
                <w:color w:val="000000"/>
                <w:sz w:val="20"/>
              </w:rPr>
              <w:t xml:space="preserve">Customization options: </w:t>
            </w:r>
            <w:r>
              <w:rPr>
                <w:rFonts w:ascii="Times New Roman;sans-serif" w:hAnsi="Times New Roman;sans-serif"/>
                <w:b w:val="false"/>
                <w:color w:val="000000"/>
                <w:sz w:val="20"/>
              </w:rPr>
              <w:t>30+</w:t>
            </w:r>
          </w:p>
          <w:p>
            <w:pPr>
              <w:pStyle w:val="TableContents"/>
              <w:bidi w:val="0"/>
              <w:spacing w:lineRule="auto" w:line="240" w:before="120" w:after="283"/>
              <w:ind w:left="0" w:right="0" w:hanging="360"/>
              <w:jc w:val="left"/>
              <w:rPr/>
            </w:pPr>
            <w:r>
              <w:rPr>
                <w:color w:val="000000"/>
              </w:rPr>
              <w:t>• </w:t>
            </w:r>
            <w:r>
              <w:rPr>
                <w:rFonts w:ascii="Times New Roman;sans-serif" w:hAnsi="Times New Roman;sans-serif"/>
                <w:b/>
                <w:color w:val="000000"/>
                <w:sz w:val="20"/>
              </w:rPr>
              <w:t>Illustrative use cases:</w:t>
            </w:r>
            <w:r>
              <w:rPr>
                <w:color w:val="000000"/>
              </w:rPr>
              <w:t xml:space="preserve"> </w:t>
            </w:r>
            <w:r>
              <w:rPr>
                <w:rFonts w:ascii="Times New Roman;sans-serif" w:hAnsi="Times New Roman;sans-serif"/>
                <w:b w:val="false"/>
                <w:color w:val="000000"/>
                <w:sz w:val="20"/>
              </w:rPr>
              <w:t>Autonomous trucking, Autonomous mining vehicles, Autonomous agricultural vehicles, Mapping, Autonomous buses, Autonomous drones, Traffic safety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2"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tbl>
      <w:tblPr>
        <w:tblW w:w="10205" w:type="dxa"/>
        <w:jc w:val="left"/>
        <w:tblInd w:w="0" w:type="dxa"/>
        <w:tblLayout w:type="fixed"/>
        <w:tblCellMar>
          <w:top w:w="28" w:type="dxa"/>
          <w:left w:w="28" w:type="dxa"/>
          <w:bottom w:w="28" w:type="dxa"/>
          <w:right w:w="28" w:type="dxa"/>
        </w:tblCellMar>
      </w:tblPr>
      <w:tblGrid>
        <w:gridCol w:w="1668"/>
        <w:gridCol w:w="1466"/>
        <w:gridCol w:w="1467"/>
        <w:gridCol w:w="1638"/>
        <w:gridCol w:w="1638"/>
        <w:gridCol w:w="2328"/>
      </w:tblGrid>
      <w:tr>
        <w:trPr/>
        <w:tc>
          <w:tcPr>
            <w:tcW w:w="1668"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r>
      <w:tr>
        <w:trPr/>
        <w:tc>
          <w:tcPr>
            <w:tcW w:w="460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857500" cy="1600200"/>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5"/>
                          <a:stretch>
                            <a:fillRect/>
                          </a:stretch>
                        </pic:blipFill>
                        <pic:spPr bwMode="auto">
                          <a:xfrm>
                            <a:off x="0" y="0"/>
                            <a:ext cx="2857500" cy="1600200"/>
                          </a:xfrm>
                          <a:prstGeom prst="rect">
                            <a:avLst/>
                          </a:prstGeom>
                        </pic:spPr>
                      </pic:pic>
                    </a:graphicData>
                  </a:graphic>
                </wp:inline>
              </w:drawing>
            </w:r>
          </w:p>
        </w:tc>
        <w:tc>
          <w:tcPr>
            <w:tcW w:w="5604" w:type="dxa"/>
            <w:gridSpan w:val="3"/>
            <w:tcBorders/>
            <w:tcMar>
              <w:top w:w="0" w:type="dxa"/>
              <w:left w:w="0" w:type="dxa"/>
              <w:bottom w:w="0" w:type="dxa"/>
              <w:right w:w="0" w:type="dxa"/>
            </w:tcMar>
            <w:vAlign w:val="center"/>
          </w:tcPr>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Resolution options (channels):</w:t>
            </w:r>
            <w:r>
              <w:rPr>
                <w:color w:val="000000"/>
              </w:rPr>
              <w:t xml:space="preserve"> </w:t>
            </w:r>
            <w:r>
              <w:rPr>
                <w:rFonts w:ascii="Times New Roman;sans-serif" w:hAnsi="Times New Roman;sans-serif"/>
                <w:b w:val="false"/>
                <w:color w:val="000000"/>
                <w:sz w:val="20"/>
              </w:rPr>
              <w:t>32, 64 and 128</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Range (@ 80% reflectivity):</w:t>
            </w:r>
            <w:r>
              <w:rPr>
                <w:color w:val="000000"/>
              </w:rPr>
              <w:t xml:space="preserve"> </w:t>
            </w:r>
            <w:r>
              <w:rPr>
                <w:rFonts w:ascii="Times New Roman;sans-serif" w:hAnsi="Times New Roman;sans-serif"/>
                <w:b w:val="false"/>
                <w:color w:val="000000"/>
                <w:sz w:val="20"/>
              </w:rPr>
              <w:t>350 meters</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FoV: </w:t>
            </w:r>
            <w:r>
              <w:rPr>
                <w:rFonts w:ascii="Times New Roman;sans-serif" w:hAnsi="Times New Roman;sans-serif"/>
                <w:b w:val="false"/>
                <w:color w:val="000000"/>
                <w:sz w:val="20"/>
              </w:rPr>
              <w:t>22.5° vertical FoV &amp; 360° horizontal FoV</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Horizontal resolution (@ 10 Hz): </w:t>
            </w:r>
            <w:r>
              <w:rPr>
                <w:rFonts w:ascii="Times New Roman;sans-serif" w:hAnsi="Times New Roman;sans-serif"/>
                <w:b w:val="false"/>
                <w:color w:val="000000"/>
                <w:sz w:val="20"/>
              </w:rPr>
              <w:t>2048</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Precision:</w:t>
            </w:r>
            <w:r>
              <w:rPr>
                <w:color w:val="000000"/>
              </w:rPr>
              <w:t xml:space="preserve"> </w:t>
            </w:r>
            <w:r>
              <w:rPr>
                <w:rFonts w:ascii="Times New Roman;sans-serif" w:hAnsi="Times New Roman;sans-serif"/>
                <w:b w:val="false"/>
                <w:color w:val="000000"/>
                <w:sz w:val="20"/>
              </w:rPr>
              <w:t>up to ±2.5 cm</w:t>
            </w:r>
          </w:p>
          <w:p>
            <w:pPr>
              <w:pStyle w:val="TableContents"/>
              <w:bidi w:val="0"/>
              <w:spacing w:lineRule="auto" w:line="276" w:before="0" w:after="0"/>
              <w:ind w:left="0" w:right="0" w:hanging="360"/>
              <w:jc w:val="left"/>
              <w:rPr/>
            </w:pPr>
            <w:r>
              <w:rPr>
                <w:color w:val="000000"/>
              </w:rPr>
              <w:t>•</w:t>
            </w:r>
            <w:r>
              <w:rPr>
                <w:rFonts w:ascii="Times New Roman;sans-serif" w:hAnsi="Times New Roman;sans-serif"/>
                <w:b/>
                <w:color w:val="000000"/>
                <w:sz w:val="20"/>
              </w:rPr>
              <w:t xml:space="preserve">Points per second (@128 channels): </w:t>
            </w:r>
            <w:r>
              <w:rPr>
                <w:rFonts w:ascii="Times New Roman;sans-serif" w:hAnsi="Times New Roman;sans-serif"/>
                <w:b w:val="false"/>
                <w:color w:val="000000"/>
                <w:sz w:val="20"/>
              </w:rPr>
              <w:t>2.6 million</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Power consumption:</w:t>
            </w:r>
            <w:r>
              <w:rPr>
                <w:color w:val="000000"/>
              </w:rPr>
              <w:t xml:space="preserve"> </w:t>
            </w:r>
            <w:r>
              <w:rPr>
                <w:rFonts w:ascii="Times New Roman;sans-serif" w:hAnsi="Times New Roman;sans-serif"/>
                <w:b w:val="false"/>
                <w:color w:val="000000"/>
                <w:sz w:val="20"/>
              </w:rPr>
              <w:t>18 – 24 W</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Environmental protection:</w:t>
            </w:r>
            <w:r>
              <w:rPr>
                <w:color w:val="000000"/>
              </w:rPr>
              <w:t xml:space="preserve"> </w:t>
            </w:r>
            <w:r>
              <w:rPr>
                <w:rFonts w:ascii="Times New Roman;sans-serif" w:hAnsi="Times New Roman;sans-serif"/>
                <w:b w:val="false"/>
                <w:color w:val="000000"/>
                <w:sz w:val="20"/>
              </w:rPr>
              <w:t>IP68, IP69K </w:t>
            </w:r>
          </w:p>
          <w:p>
            <w:pPr>
              <w:pStyle w:val="TableContents"/>
              <w:bidi w:val="0"/>
              <w:spacing w:lineRule="auto" w:line="240" w:before="120" w:after="283"/>
              <w:ind w:left="0" w:right="0" w:hanging="360"/>
              <w:jc w:val="left"/>
              <w:rPr/>
            </w:pPr>
            <w:r>
              <w:rPr>
                <w:color w:val="000000"/>
              </w:rPr>
              <w:t>• </w:t>
            </w:r>
            <w:r>
              <w:rPr>
                <w:rFonts w:ascii="Times New Roman;sans-serif" w:hAnsi="Times New Roman;sans-serif"/>
                <w:b/>
                <w:color w:val="000000"/>
                <w:sz w:val="20"/>
              </w:rPr>
              <w:t>Customization options: 15</w:t>
            </w:r>
            <w:r>
              <w:rPr>
                <w:rFonts w:ascii="Times New Roman;sans-serif" w:hAnsi="Times New Roman;sans-serif"/>
                <w:b w:val="false"/>
                <w:color w:val="000000"/>
                <w:sz w:val="20"/>
              </w:rPr>
              <w:t>+</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Illustrative use cases:</w:t>
            </w:r>
            <w:r>
              <w:rPr>
                <w:color w:val="000000"/>
              </w:rPr>
              <w:t xml:space="preserve"> </w:t>
            </w:r>
            <w:r>
              <w:rPr>
                <w:rFonts w:ascii="Times New Roman;sans-serif" w:hAnsi="Times New Roman;sans-serif"/>
                <w:b w:val="false"/>
                <w:color w:val="000000"/>
                <w:sz w:val="20"/>
              </w:rPr>
              <w:t>Autonomous trucking, Robo-taxis, Autonomous shuttles, Mapping, Traffic analytics, Autonomous mining, Building security</w:t>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Product customization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Within our OS sensor models, we offer numerous customization options, all enabled by embedded software. The OSDome offers resolution options of 64 and 128 lines vertically (“channels”), each in a uniform beam spacing configuration. For each of our other three OS models, we offer resolution options of 128 channels, 64 channels, or 32 channels. Additionally, within the 64 and 32 channel options, we offer further customization to determine how the channels are distributed throughout the vertical field-of-view. These options for beam spacing are: uniform (evenly distributed channels), gradient (denser channels around the center of the vertical field-of-view and sparser by the top and bottom edges), below horizon (evenly spaced on the bottom half of the field of view), and above horizon (evenly spaced in the top half of the field-of-view). Illustrative beam spacing options for the OS1 model are found below:</w:t>
      </w:r>
    </w:p>
    <w:p>
      <w:pPr>
        <w:pStyle w:val="TextBody"/>
        <w:bidi w:val="0"/>
        <w:spacing w:before="120" w:after="283"/>
        <w:jc w:val="left"/>
        <w:rPr/>
      </w:pPr>
      <w:r>
        <w:rPr/>
        <w:drawing>
          <wp:inline distT="0" distB="0" distL="0" distR="0">
            <wp:extent cx="6286500" cy="1266825"/>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6"/>
                    <a:stretch>
                      <a:fillRect/>
                    </a:stretch>
                  </pic:blipFill>
                  <pic:spPr bwMode="auto">
                    <a:xfrm>
                      <a:off x="0" y="0"/>
                      <a:ext cx="6286500" cy="1266825"/>
                    </a:xfrm>
                    <a:prstGeom prst="rect">
                      <a:avLst/>
                    </a:prstGeom>
                  </pic:spPr>
                </pic:pic>
              </a:graphicData>
            </a:graphic>
          </wp:inline>
        </w:drawing>
      </w:r>
    </w:p>
    <w:p>
      <w:pPr>
        <w:pStyle w:val="TextBody"/>
        <w:bidi w:val="0"/>
        <w:spacing w:before="120" w:after="283"/>
        <w:jc w:val="left"/>
        <w:rPr/>
      </w:pPr>
      <w:r>
        <w:rPr/>
        <w:drawing>
          <wp:inline distT="0" distB="0" distL="0" distR="0">
            <wp:extent cx="6286500" cy="1343025"/>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6286500" cy="1343025"/>
                    </a:xfrm>
                    <a:prstGeom prst="rect">
                      <a:avLst/>
                    </a:prstGeom>
                  </pic:spPr>
                </pic:pic>
              </a:graphicData>
            </a:graphic>
          </wp:inline>
        </w:drawing>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Through our existing and future embedded software, and as a result of our enhanced operational capacity stemming from the Velodyne Merger, we anticipate offering additional customizable options to our customers. Because these configurations are offered through software, the incremental cost of additional options is lower than the cost of designing new hardware, giving us the operational flexibility to respond to evolving market demands.</w:t>
      </w: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DF product line</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DF series is a suite of short, mid, and long-range solid-state digital lidar sensors with superior reliability, durability, and affordability. The DF series is designed to meet automaker requirements and certifications for advanced driver assistance systems (“ADAS”) and autonomous driving, while seamlessly integrating into the vehicle architecture and design. The DF series is also suitable for non-ADAS use cases where a full 360 degree field of view is not required.</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Its key features include high resolution sensors, adaptability, and scalability.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pPr>
      <w:r>
        <w:rPr>
          <w:rFonts w:ascii="Times New Roman;sans-serif" w:hAnsi="Times New Roman;sans-serif"/>
          <w:b w:val="false"/>
          <w:i/>
          <w:color w:val="000000"/>
          <w:sz w:val="20"/>
          <w:shd w:fill="FFFFFF" w:val="clear"/>
        </w:rPr>
        <w:t>High resolution.</w:t>
      </w:r>
      <w:r>
        <w:rPr>
          <w:color w:val="000000"/>
          <w:shd w:fill="FFFFFF" w:val="clear"/>
        </w:rPr>
        <w:t xml:space="preserve"> </w:t>
      </w:r>
      <w:r>
        <w:rPr>
          <w:rFonts w:ascii="Times New Roman;sans-serif" w:hAnsi="Times New Roman;sans-serif"/>
          <w:b w:val="false"/>
          <w:color w:val="000000"/>
          <w:sz w:val="20"/>
          <w:shd w:fill="FFFFFF" w:val="clear"/>
        </w:rPr>
        <w:t>The patented breakthrough solid-state digital flash architecture produces high-resolution 3D point clouds.</w:t>
      </w:r>
    </w:p>
    <w:p>
      <w:pPr>
        <w:pStyle w:val="TextBody"/>
        <w:bidi w:val="0"/>
        <w:spacing w:lineRule="auto" w:line="288" w:before="120" w:after="283"/>
        <w:jc w:val="left"/>
        <w:rPr/>
      </w:pPr>
      <w:r>
        <w:rPr>
          <w:rFonts w:ascii="Times New Roman;sans-serif" w:hAnsi="Times New Roman;sans-serif"/>
          <w:b w:val="false"/>
          <w:i/>
          <w:color w:val="000000"/>
          <w:sz w:val="20"/>
          <w:shd w:fill="FFFFFF" w:val="clear"/>
        </w:rPr>
        <w:t>Adaptability.</w:t>
      </w:r>
      <w:r>
        <w:rPr>
          <w:color w:val="000000"/>
          <w:shd w:fill="FFFFFF" w:val="clear"/>
        </w:rPr>
        <w:t xml:space="preserve"> </w:t>
      </w:r>
      <w:r>
        <w:rPr>
          <w:rFonts w:ascii="Times New Roman;sans-serif" w:hAnsi="Times New Roman;sans-serif"/>
          <w:b w:val="false"/>
          <w:color w:val="000000"/>
          <w:sz w:val="20"/>
          <w:shd w:fill="FFFFFF" w:val="clear"/>
        </w:rPr>
        <w:t xml:space="preserve">The multi-sensor suite is a flexible platform that can be easily adapted to different form-factors and sensor configurations to provide varying ranges, fields of view, and vehicle design freedoms – all with a simple change in optics or housing. </w:t>
      </w:r>
    </w:p>
    <w:p>
      <w:pPr>
        <w:pStyle w:val="TextBody"/>
        <w:bidi w:val="0"/>
        <w:spacing w:lineRule="auto" w:line="288" w:before="120" w:after="283"/>
        <w:jc w:val="left"/>
        <w:rPr/>
      </w:pPr>
      <w:r>
        <w:rPr>
          <w:rFonts w:ascii="Times New Roman;sans-serif" w:hAnsi="Times New Roman;sans-serif"/>
          <w:b w:val="false"/>
          <w:i/>
          <w:color w:val="000000"/>
          <w:sz w:val="20"/>
          <w:shd w:fill="FFFFFF" w:val="clear"/>
        </w:rPr>
        <w:t>Scalability.</w:t>
      </w:r>
      <w:r>
        <w:rPr>
          <w:color w:val="000000"/>
          <w:shd w:fill="FFFFFF" w:val="clear"/>
        </w:rPr>
        <w:t xml:space="preserve"> </w:t>
      </w:r>
      <w:r>
        <w:rPr>
          <w:rFonts w:ascii="Times New Roman;sans-serif" w:hAnsi="Times New Roman;sans-serif"/>
          <w:b w:val="false"/>
          <w:color w:val="000000"/>
          <w:sz w:val="20"/>
          <w:shd w:fill="FFFFFF" w:val="clear"/>
        </w:rPr>
        <w:t>The solid-state DF product line is highly manufacturable and offers the durability, reliability, and affordability needed for automotive series production. We expect to offer individual solid-state sensors as well as a multi-sensor lidar suite at a price point that we believe could enable broad adoption in consumer vehicles. We believe that we are well-positioned to deliver on OEM requirements with a single supplier offering, reducing overall costs and making us a preferred potential partner for both automotive OEMs and Tier 1s.</w:t>
      </w:r>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Velodyne product lines</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also offer certain surround-view lidar sensors that Velodyne previously marketed prior to our merger with Velodyne in February 2023. These products are listed below and support numerous end applications, including autonomous vehicles, drones, security, mobile robots and mapping.</w: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868"/>
        <w:gridCol w:w="763"/>
        <w:gridCol w:w="765"/>
        <w:gridCol w:w="2282"/>
        <w:gridCol w:w="2282"/>
        <w:gridCol w:w="3245"/>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3245"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457325" cy="1771650"/>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1457325" cy="1771650"/>
                          </a:xfrm>
                          <a:prstGeom prst="rect">
                            <a:avLst/>
                          </a:prstGeom>
                        </pic:spPr>
                      </pic:pic>
                    </a:graphicData>
                  </a:graphic>
                </wp:inline>
              </w:drawing>
            </w:r>
          </w:p>
        </w:tc>
        <w:tc>
          <w:tcPr>
            <w:tcW w:w="7809" w:type="dxa"/>
            <w:gridSpan w:val="3"/>
            <w:tcBorders/>
            <w:tcMar>
              <w:top w:w="0" w:type="dxa"/>
              <w:left w:w="0" w:type="dxa"/>
              <w:bottom w:w="0" w:type="dxa"/>
              <w:right w:w="0" w:type="dxa"/>
            </w:tcMar>
            <w:vAlign w:val="center"/>
          </w:tcPr>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Resolution options (channels): </w:t>
            </w:r>
            <w:r>
              <w:rPr>
                <w:rFonts w:ascii="Times New Roman;sans-serif" w:hAnsi="Times New Roman;sans-serif"/>
                <w:b w:val="false"/>
                <w:color w:val="000000"/>
                <w:sz w:val="20"/>
              </w:rPr>
              <w:t>16</w:t>
            </w:r>
          </w:p>
          <w:p>
            <w:pPr>
              <w:pStyle w:val="TableContents"/>
              <w:bidi w:val="0"/>
              <w:spacing w:lineRule="auto" w:line="268" w:before="0" w:after="0"/>
              <w:ind w:left="0" w:right="0" w:hanging="360"/>
              <w:jc w:val="left"/>
              <w:rPr/>
            </w:pPr>
            <w:r>
              <w:rPr>
                <w:color w:val="000000"/>
              </w:rPr>
              <w:t>•</w:t>
            </w:r>
            <w:r>
              <w:rPr>
                <w:rFonts w:ascii="Times New Roman;sans-serif" w:hAnsi="Times New Roman;sans-serif"/>
                <w:b/>
                <w:color w:val="000000"/>
                <w:sz w:val="20"/>
              </w:rPr>
              <w:t>Range (@ 80% reflectivity):</w:t>
            </w:r>
            <w:r>
              <w:rPr>
                <w:color w:val="000000"/>
              </w:rPr>
              <w:t xml:space="preserve"> </w:t>
            </w:r>
            <w:r>
              <w:rPr>
                <w:rFonts w:ascii="Times New Roman;sans-serif" w:hAnsi="Times New Roman;sans-serif"/>
                <w:b w:val="false"/>
                <w:color w:val="000000"/>
                <w:sz w:val="20"/>
              </w:rPr>
              <w:t xml:space="preserve">100 meters </w:t>
            </w:r>
          </w:p>
          <w:p>
            <w:pPr>
              <w:pStyle w:val="TableContents"/>
              <w:bidi w:val="0"/>
              <w:spacing w:lineRule="auto" w:line="268" w:before="0" w:after="0"/>
              <w:ind w:left="0" w:right="0" w:hanging="360"/>
              <w:jc w:val="left"/>
              <w:rPr/>
            </w:pPr>
            <w:r>
              <w:rPr>
                <w:color w:val="000000"/>
              </w:rPr>
              <w:t>•</w:t>
            </w:r>
            <w:r>
              <w:rPr>
                <w:rFonts w:ascii="Times New Roman;sans-serif" w:hAnsi="Times New Roman;sans-serif"/>
                <w:b/>
                <w:color w:val="000000"/>
                <w:sz w:val="20"/>
              </w:rPr>
              <w:t xml:space="preserve">Field of View (FoV): </w:t>
            </w:r>
            <w:r>
              <w:rPr>
                <w:rFonts w:ascii="Times New Roman;sans-serif" w:hAnsi="Times New Roman;sans-serif"/>
                <w:b w:val="false"/>
                <w:color w:val="000000"/>
                <w:sz w:val="20"/>
              </w:rPr>
              <w:t>30° vertical FoV &amp; 360° horizontal FoV</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Horizontal resolution (@ 10 Hz): </w:t>
            </w:r>
            <w:r>
              <w:rPr>
                <w:rFonts w:ascii="Times New Roman;sans-serif" w:hAnsi="Times New Roman;sans-serif"/>
                <w:b w:val="false"/>
                <w:color w:val="000000"/>
                <w:sz w:val="20"/>
              </w:rPr>
              <w:t>1800</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Precision: </w:t>
            </w:r>
            <w:r>
              <w:rPr>
                <w:rFonts w:ascii="Times New Roman;sans-serif" w:hAnsi="Times New Roman;sans-serif"/>
                <w:b w:val="false"/>
                <w:color w:val="000000"/>
                <w:sz w:val="20"/>
              </w:rPr>
              <w:t>up to ±3.0 cm</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Points per second:</w:t>
            </w:r>
            <w:r>
              <w:rPr>
                <w:color w:val="000000"/>
              </w:rPr>
              <w:t xml:space="preserve"> </w:t>
            </w:r>
            <w:r>
              <w:rPr>
                <w:rFonts w:ascii="Times New Roman;sans-serif" w:hAnsi="Times New Roman;sans-serif"/>
                <w:b w:val="false"/>
                <w:color w:val="000000"/>
                <w:sz w:val="20"/>
              </w:rPr>
              <w:t>576,000</w:t>
            </w:r>
          </w:p>
          <w:p>
            <w:pPr>
              <w:pStyle w:val="TableContents"/>
              <w:bidi w:val="0"/>
              <w:spacing w:lineRule="auto" w:line="240" w:before="120" w:after="283"/>
              <w:ind w:left="0" w:right="0" w:hanging="360"/>
              <w:jc w:val="left"/>
              <w:rPr/>
            </w:pPr>
            <w:r>
              <w:rPr>
                <w:color w:val="000000"/>
              </w:rPr>
              <w:t>• </w:t>
            </w:r>
            <w:r>
              <w:rPr>
                <w:rFonts w:ascii="Times New Roman;sans-serif" w:hAnsi="Times New Roman;sans-serif"/>
                <w:b/>
                <w:color w:val="000000"/>
                <w:sz w:val="20"/>
              </w:rPr>
              <w:t xml:space="preserve">Power consumption: </w:t>
            </w:r>
            <w:r>
              <w:rPr>
                <w:rFonts w:ascii="Times New Roman;sans-serif" w:hAnsi="Times New Roman;sans-serif"/>
                <w:b w:val="false"/>
                <w:color w:val="000000"/>
                <w:sz w:val="20"/>
              </w:rPr>
              <w:t>8 W</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Environmental protection: </w:t>
            </w:r>
            <w:r>
              <w:rPr>
                <w:rFonts w:ascii="Times New Roman;sans-serif" w:hAnsi="Times New Roman;sans-serif"/>
                <w:b w:val="false"/>
                <w:color w:val="000000"/>
                <w:sz w:val="20"/>
              </w:rPr>
              <w:t>IP67</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Customization options: </w:t>
            </w:r>
            <w:r>
              <w:rPr>
                <w:rFonts w:ascii="Times New Roman;sans-serif" w:hAnsi="Times New Roman;sans-serif"/>
                <w:b w:val="false"/>
                <w:color w:val="000000"/>
                <w:sz w:val="20"/>
              </w:rPr>
              <w:t>3</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Illustrative use cases: </w:t>
            </w:r>
            <w:r>
              <w:rPr>
                <w:rFonts w:ascii="Times New Roman;sans-serif" w:hAnsi="Times New Roman;sans-serif"/>
                <w:b w:val="false"/>
                <w:color w:val="000000"/>
                <w:sz w:val="20"/>
              </w:rPr>
              <w:t>Factory AGVs, Automated forklifts, Robotaxis, Building security, Autonomous shuttles, People counting</w:t>
            </w:r>
          </w:p>
        </w:tc>
      </w:tr>
      <w:tr>
        <w:trPr/>
        <w:tc>
          <w:tcPr>
            <w:tcW w:w="23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457325" cy="190500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1457325" cy="1905000"/>
                          </a:xfrm>
                          <a:prstGeom prst="rect">
                            <a:avLst/>
                          </a:prstGeom>
                        </pic:spPr>
                      </pic:pic>
                    </a:graphicData>
                  </a:graphic>
                </wp:inline>
              </w:drawing>
            </w:r>
          </w:p>
        </w:tc>
        <w:tc>
          <w:tcPr>
            <w:tcW w:w="7809" w:type="dxa"/>
            <w:gridSpan w:val="3"/>
            <w:tcBorders/>
            <w:tcMar>
              <w:top w:w="0" w:type="dxa"/>
              <w:left w:w="0" w:type="dxa"/>
              <w:bottom w:w="0" w:type="dxa"/>
              <w:right w:w="0" w:type="dxa"/>
            </w:tcMar>
            <w:vAlign w:val="center"/>
          </w:tcPr>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Resolution options (channels): </w:t>
            </w:r>
            <w:r>
              <w:rPr>
                <w:rFonts w:ascii="Times New Roman;sans-serif" w:hAnsi="Times New Roman;sans-serif"/>
                <w:b w:val="false"/>
                <w:color w:val="000000"/>
                <w:sz w:val="20"/>
              </w:rPr>
              <w:t>128</w:t>
            </w:r>
          </w:p>
          <w:p>
            <w:pPr>
              <w:pStyle w:val="TableContents"/>
              <w:bidi w:val="0"/>
              <w:spacing w:lineRule="auto" w:line="268" w:before="0" w:after="0"/>
              <w:ind w:left="0" w:right="0" w:hanging="360"/>
              <w:jc w:val="left"/>
              <w:rPr/>
            </w:pPr>
            <w:r>
              <w:rPr>
                <w:color w:val="000000"/>
              </w:rPr>
              <w:t>•</w:t>
            </w:r>
            <w:r>
              <w:rPr>
                <w:rFonts w:ascii="Times New Roman;sans-serif" w:hAnsi="Times New Roman;sans-serif"/>
                <w:b/>
                <w:color w:val="000000"/>
                <w:sz w:val="20"/>
              </w:rPr>
              <w:t xml:space="preserve">Range (@ 80% reflectivity): </w:t>
            </w:r>
            <w:r>
              <w:rPr>
                <w:rFonts w:ascii="Times New Roman;sans-serif" w:hAnsi="Times New Roman;sans-serif"/>
                <w:b w:val="false"/>
                <w:color w:val="000000"/>
                <w:sz w:val="20"/>
              </w:rPr>
              <w:t xml:space="preserve">450 meters </w:t>
            </w:r>
          </w:p>
          <w:p>
            <w:pPr>
              <w:pStyle w:val="TableContents"/>
              <w:bidi w:val="0"/>
              <w:spacing w:lineRule="auto" w:line="268" w:before="0" w:after="0"/>
              <w:ind w:left="0" w:right="0" w:hanging="360"/>
              <w:jc w:val="left"/>
              <w:rPr/>
            </w:pPr>
            <w:r>
              <w:rPr>
                <w:color w:val="000000"/>
              </w:rPr>
              <w:t>•</w:t>
            </w:r>
            <w:r>
              <w:rPr>
                <w:rFonts w:ascii="Times New Roman;sans-serif" w:hAnsi="Times New Roman;sans-serif"/>
                <w:b/>
                <w:color w:val="000000"/>
                <w:sz w:val="20"/>
              </w:rPr>
              <w:t xml:space="preserve">Field of View (FoV): </w:t>
            </w:r>
            <w:r>
              <w:rPr>
                <w:rFonts w:ascii="Times New Roman;sans-serif" w:hAnsi="Times New Roman;sans-serif"/>
                <w:b w:val="false"/>
                <w:color w:val="000000"/>
                <w:sz w:val="20"/>
              </w:rPr>
              <w:t>40° vertical FoV &amp; 360° horizontal FoV</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Horizontal resolution (@ 10 Hz):</w:t>
            </w:r>
            <w:r>
              <w:rPr>
                <w:color w:val="000000"/>
              </w:rPr>
              <w:t xml:space="preserve"> </w:t>
            </w:r>
            <w:r>
              <w:rPr>
                <w:rFonts w:ascii="Times New Roman;sans-serif" w:hAnsi="Times New Roman;sans-serif"/>
                <w:b w:val="false"/>
                <w:color w:val="000000"/>
                <w:sz w:val="20"/>
              </w:rPr>
              <w:t>1800</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Precision: </w:t>
            </w:r>
            <w:r>
              <w:rPr>
                <w:rFonts w:ascii="Times New Roman;sans-serif" w:hAnsi="Times New Roman;sans-serif"/>
                <w:b w:val="false"/>
                <w:color w:val="000000"/>
                <w:sz w:val="20"/>
              </w:rPr>
              <w:t>up to ±3.0 cm</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Points per second: </w:t>
            </w:r>
            <w:r>
              <w:rPr>
                <w:rFonts w:ascii="Times New Roman;sans-serif" w:hAnsi="Times New Roman;sans-serif"/>
                <w:b w:val="false"/>
                <w:color w:val="000000"/>
                <w:sz w:val="20"/>
              </w:rPr>
              <w:t>4.6 million</w:t>
            </w:r>
          </w:p>
          <w:p>
            <w:pPr>
              <w:pStyle w:val="TableContents"/>
              <w:bidi w:val="0"/>
              <w:spacing w:lineRule="auto" w:line="240" w:before="120" w:after="283"/>
              <w:ind w:left="0" w:right="0" w:hanging="360"/>
              <w:jc w:val="left"/>
              <w:rPr/>
            </w:pPr>
            <w:r>
              <w:rPr>
                <w:color w:val="000000"/>
              </w:rPr>
              <w:t>• </w:t>
            </w:r>
            <w:r>
              <w:rPr>
                <w:rFonts w:ascii="Times New Roman;sans-serif" w:hAnsi="Times New Roman;sans-serif"/>
                <w:b/>
                <w:color w:val="000000"/>
                <w:sz w:val="20"/>
              </w:rPr>
              <w:t xml:space="preserve">Power consumption: </w:t>
            </w:r>
            <w:r>
              <w:rPr>
                <w:rFonts w:ascii="Times New Roman;sans-serif" w:hAnsi="Times New Roman;sans-serif"/>
                <w:b w:val="false"/>
                <w:color w:val="000000"/>
                <w:sz w:val="20"/>
              </w:rPr>
              <w:t>23 W</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Environmental protection: </w:t>
            </w:r>
            <w:r>
              <w:rPr>
                <w:rFonts w:ascii="Times New Roman;sans-serif" w:hAnsi="Times New Roman;sans-serif"/>
                <w:b w:val="false"/>
                <w:color w:val="000000"/>
                <w:sz w:val="20"/>
              </w:rPr>
              <w:t>IP67</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Customization options:</w:t>
            </w:r>
            <w:r>
              <w:rPr>
                <w:color w:val="000000"/>
              </w:rPr>
              <w:t xml:space="preserve"> </w:t>
            </w:r>
            <w:r>
              <w:rPr>
                <w:rFonts w:ascii="Times New Roman;sans-serif" w:hAnsi="Times New Roman;sans-serif"/>
                <w:b w:val="false"/>
                <w:color w:val="000000"/>
                <w:sz w:val="20"/>
              </w:rPr>
              <w:t>1</w:t>
            </w:r>
          </w:p>
          <w:p>
            <w:pPr>
              <w:pStyle w:val="TableContents"/>
              <w:bidi w:val="0"/>
              <w:spacing w:lineRule="auto" w:line="240" w:before="120" w:after="283"/>
              <w:ind w:left="0" w:right="0" w:hanging="360"/>
              <w:jc w:val="left"/>
              <w:rPr/>
            </w:pPr>
            <w:r>
              <w:rPr>
                <w:color w:val="000000"/>
              </w:rPr>
              <w:t>•</w:t>
            </w:r>
            <w:r>
              <w:rPr>
                <w:rFonts w:ascii="Times New Roman;sans-serif" w:hAnsi="Times New Roman;sans-serif"/>
                <w:b/>
                <w:color w:val="000000"/>
                <w:sz w:val="20"/>
              </w:rPr>
              <w:t xml:space="preserve">Illustrative use cases: </w:t>
            </w:r>
            <w:r>
              <w:rPr>
                <w:rFonts w:ascii="Times New Roman;sans-serif" w:hAnsi="Times New Roman;sans-serif"/>
                <w:b w:val="false"/>
                <w:color w:val="000000"/>
                <w:sz w:val="20"/>
              </w:rPr>
              <w:t>Autonomous trucking, Robotaxis, Autonomous shuttles, Mapping, Traffic analytics, Building security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76"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Ouster Gemini</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Ouster Gemini is a perception platform designed for smart infrastructure deployments like security and crowd analytics, and is optimized exclusively for Ouster’s digital lidar sensors. The Gemini platform consists of OS series lidar sensors, edge processor hardware, perception software, and cloud analytics.</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Ouster Gemini platform provides people and object detection, classification, and tracking for actionable, intuitive, and customizable insights while preserving personally identifiable information. Gemini enables our customers to detect, classify, and track objects through a covered area which can be expanded by meshing lidar sensors together to form a single, cohesive 3D view. This approach has multiple advantages compared to other similar solutions and can be used to replace or enhance existing camera, radar, or RF beacon-based systems: </w:t>
      </w:r>
    </w:p>
    <w:p>
      <w:pPr>
        <w:pStyle w:val="TextBody"/>
        <w:bidi w:val="0"/>
        <w:spacing w:lineRule="auto" w:line="288" w:before="120" w:after="283"/>
        <w:jc w:val="left"/>
        <w:rPr/>
      </w:pPr>
      <w:r>
        <w:rPr>
          <w:rFonts w:ascii="Times New Roman;sans-serif" w:hAnsi="Times New Roman;sans-serif"/>
          <w:b w:val="false"/>
          <w:i/>
          <w:color w:val="000000"/>
          <w:sz w:val="20"/>
          <w:shd w:fill="FFFFFF" w:val="clear"/>
        </w:rPr>
        <w:t>Detection accuracy</w:t>
      </w:r>
      <w:r>
        <w:rPr>
          <w:rFonts w:ascii="Times New Roman;sans-serif" w:hAnsi="Times New Roman;sans-serif"/>
          <w:b w:val="false"/>
          <w:color w:val="000000"/>
          <w:sz w:val="20"/>
          <w:shd w:fill="FFFFFF" w:val="clear"/>
        </w:rPr>
        <w:t>. Gemini perception software is specifically optimized to take advantage of the rich and robust data provided by Ouster’s digital lidar sensors. The high resolution and improved range of our digital lidar sensors combined with a state of the art deep neural network based perception algorithms enhance the detection, classification, and tracking accuracy of the perception software.</w:t>
      </w:r>
    </w:p>
    <w:p>
      <w:pPr>
        <w:pStyle w:val="TextBody"/>
        <w:bidi w:val="0"/>
        <w:spacing w:lineRule="auto" w:line="288" w:before="120" w:after="283"/>
        <w:jc w:val="left"/>
        <w:rPr/>
      </w:pPr>
      <w:r>
        <w:rPr>
          <w:rFonts w:ascii="Times New Roman;sans-serif" w:hAnsi="Times New Roman;sans-serif"/>
          <w:b w:val="false"/>
          <w:i/>
          <w:color w:val="000000"/>
          <w:sz w:val="20"/>
          <w:shd w:fill="FFFFFF" w:val="clear"/>
        </w:rPr>
        <w:t>Uninterrupted tracking</w:t>
      </w:r>
      <w:r>
        <w:rPr>
          <w:rFonts w:ascii="Times New Roman;sans-serif" w:hAnsi="Times New Roman;sans-serif"/>
          <w:b w:val="false"/>
          <w:color w:val="000000"/>
          <w:sz w:val="20"/>
          <w:shd w:fill="FFFFFF" w:val="clear"/>
        </w:rPr>
        <w:t>. Gemini enables seamless tracking of objects across an entire area. Users can easily mesh multiple lidar sensors together within the Gemini software interface, allowing a seamless 3D view of object movement throughout the space. Each sensor provides ten times more coverage than a camera based system.</w:t>
      </w:r>
    </w:p>
    <w:p>
      <w:pPr>
        <w:pStyle w:val="TextBody"/>
        <w:bidi w:val="0"/>
        <w:spacing w:lineRule="auto" w:line="288" w:before="120" w:after="283"/>
        <w:jc w:val="left"/>
        <w:rPr/>
      </w:pPr>
      <w:r>
        <w:rPr>
          <w:rFonts w:ascii="Times New Roman;sans-serif" w:hAnsi="Times New Roman;sans-serif"/>
          <w:b w:val="false"/>
          <w:i/>
          <w:color w:val="000000"/>
          <w:sz w:val="20"/>
          <w:shd w:fill="FFFFFF" w:val="clear"/>
        </w:rPr>
        <w:t>Easy setup and administration</w:t>
      </w:r>
      <w:r>
        <w:rPr>
          <w:rFonts w:ascii="Times New Roman;sans-serif" w:hAnsi="Times New Roman;sans-serif"/>
          <w:b w:val="false"/>
          <w:color w:val="000000"/>
          <w:sz w:val="20"/>
          <w:shd w:fill="FFFFFF" w:val="clear"/>
        </w:rPr>
        <w:t>. The simplicity of the Gemini platform, along with its intuitive user interface, enables customers to install, configure, and maintain the system with ease.</w:t>
      </w:r>
    </w:p>
    <w:p>
      <w:pPr>
        <w:pStyle w:val="TextBody"/>
        <w:bidi w:val="0"/>
        <w:spacing w:lineRule="auto" w:line="288" w:before="120" w:after="283"/>
        <w:jc w:val="left"/>
        <w:rPr/>
      </w:pPr>
      <w:r>
        <w:rPr>
          <w:rFonts w:ascii="Times New Roman;sans-serif" w:hAnsi="Times New Roman;sans-serif"/>
          <w:b w:val="false"/>
          <w:i/>
          <w:color w:val="000000"/>
          <w:sz w:val="20"/>
          <w:shd w:fill="FFFFFF" w:val="clear"/>
        </w:rPr>
        <w:t>Privacy-preserving</w:t>
      </w:r>
      <w:r>
        <w:rPr>
          <w:rFonts w:ascii="Times New Roman;sans-serif" w:hAnsi="Times New Roman;sans-serif"/>
          <w:b w:val="false"/>
          <w:color w:val="000000"/>
          <w:sz w:val="20"/>
          <w:shd w:fill="FFFFFF" w:val="clear"/>
        </w:rPr>
        <w:t>. Gemini does not output any personally identifiable information, allowing customers to deploy advanced monitoring systems in public or sensitive areas without privacy concerns.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Blue City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Blue City is a Gemini-powered solution for traffic operations, planning, and safety. Blue City provides real-time data analytics and predictions, which can be used to improve traffic and crowd flow efficiency, improve urban planning, advance sustainability, and protect vulnerable road users in a wide range of weather and lighting conditions.</w:t>
      </w:r>
    </w:p>
    <w:p>
      <w:pPr>
        <w:pStyle w:val="TextBody"/>
        <w:bidi w:val="0"/>
        <w:spacing w:lineRule="auto" w:line="288" w:before="120" w:after="283"/>
        <w:jc w:val="left"/>
        <w:rPr/>
      </w:pPr>
      <w:r>
        <w:rPr>
          <w:rFonts w:ascii="Times New Roman;sans-serif" w:hAnsi="Times New Roman;sans-serif"/>
          <w:b w:val="false"/>
          <w:i/>
          <w:color w:val="000000"/>
          <w:sz w:val="20"/>
          <w:shd w:fill="FFFFFF" w:val="clear"/>
        </w:rPr>
        <w:t>Improve flow efficiency</w:t>
      </w:r>
      <w:r>
        <w:rPr>
          <w:rFonts w:ascii="Times New Roman;sans-serif" w:hAnsi="Times New Roman;sans-serif"/>
          <w:b w:val="false"/>
          <w:color w:val="000000"/>
          <w:sz w:val="20"/>
          <w:shd w:fill="FFFFFF" w:val="clear"/>
        </w:rPr>
        <w:t>. Connecting Blue City’s intelligent solution to existing traffic controllers helps optimize signal timing and traffic and crowd flow based on real-time, multimodal traffic data. This can result in reduced traffic congestion, decreased vehicle delays, and maximized system capacity.</w:t>
      </w:r>
    </w:p>
    <w:p>
      <w:pPr>
        <w:pStyle w:val="TextBody"/>
        <w:bidi w:val="0"/>
        <w:spacing w:lineRule="auto" w:line="288" w:before="120" w:after="283"/>
        <w:jc w:val="left"/>
        <w:rPr/>
      </w:pPr>
      <w:r>
        <w:rPr>
          <w:rFonts w:ascii="Times New Roman;sans-serif" w:hAnsi="Times New Roman;sans-serif"/>
          <w:b w:val="false"/>
          <w:i/>
          <w:color w:val="000000"/>
          <w:sz w:val="20"/>
          <w:shd w:fill="FFFFFF" w:val="clear"/>
        </w:rPr>
        <w:t>Improve urban planning</w:t>
      </w:r>
      <w:r>
        <w:rPr>
          <w:rFonts w:ascii="Times New Roman;sans-serif" w:hAnsi="Times New Roman;sans-serif"/>
          <w:b w:val="false"/>
          <w:color w:val="000000"/>
          <w:sz w:val="20"/>
          <w:shd w:fill="FFFFFF" w:val="clear"/>
        </w:rPr>
        <w:t>. Blue City can help improve mobility and urban growth management for all modes of transport with data-based decision-making insights on the volume, speed, and direction of pedestrians, cyclists, and vehicles.</w:t>
      </w:r>
    </w:p>
    <w:p>
      <w:pPr>
        <w:pStyle w:val="TextBody"/>
        <w:bidi w:val="0"/>
        <w:spacing w:lineRule="auto" w:line="288" w:before="120" w:after="283"/>
        <w:jc w:val="left"/>
        <w:rPr/>
      </w:pPr>
      <w:r>
        <w:rPr>
          <w:rFonts w:ascii="Times New Roman;sans-serif" w:hAnsi="Times New Roman;sans-serif"/>
          <w:b w:val="false"/>
          <w:i/>
          <w:color w:val="000000"/>
          <w:sz w:val="20"/>
          <w:shd w:fill="FFFFFF" w:val="clear"/>
        </w:rPr>
        <w:t>Data analytics dashboard</w:t>
      </w:r>
      <w:r>
        <w:rPr>
          <w:rFonts w:ascii="Times New Roman;sans-serif" w:hAnsi="Times New Roman;sans-serif"/>
          <w:b w:val="false"/>
          <w:color w:val="000000"/>
          <w:sz w:val="20"/>
          <w:shd w:fill="FFFFFF" w:val="clear"/>
        </w:rPr>
        <w:t>. Blue City provides a user dashboard with actionable insights such as number of near misses, pedestrian crossing time estimates, illegal turn detection, and red-light violations.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Product Roadmap And Development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expect that our future digital lidar product developments will be primarily driven by improvements to our semiconductors—the receiver SoC and VCSEL laser array— with little to no impact on the designs or architecture of our sensors.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maintain our OS product line with our four current sensor models. Our product roadmap primarily consists of designing, building, and integrating improved semiconductors into the OS product line, which we anticipate will improve the range and resolution of our sensors, among other features, without substantial changes to the form factor of our sensors.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manufactured prototypes of our DF product line for the automotive ADAS market. After the initial release, we anticipate our DF product line will improve in performance over time as we improve our core SoC and laser components.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Our Customers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target four markets globally: automotive, industrial, robotics, and smart infrastructure. For the year ended December 31, 2023, no single customer accounted for more than 10% of our revenue from product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Automotive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in the automotive industry fall into two categories: customers developing various forms of self-driving technology for driverless mobility and freight applications, and customers developing consumer ADAS. Both groups are generally engaged in the design, production, manufacture, operation, or after-market modification of automobiles, which includes consumer and commercial vehicles, commercial heavy trucks, and buses among other vehicles. Automotive customers use lidar as a core component in ADAS and for autonomous driving. We believe that our automotive customers value the high resolution, high reliability, and cost of our lidar technology. During the fiscal year ended December 31, 2023, a single customer developing level 4 autonomous vehicles accounted for more than 10% of our bookings in 2023.</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Industrial Automation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in the industrial market are generally engaged in the manufacturing, operation, or after-market modification of heavy industrial machinery, which includes automated guided vehicles (“AGVs”), autonomous mobile robots (“AMRs”), mining vehicles, large material handling vehicles such as forklifts, construction vehicles, agricultural vehicles, and port machinery among other machines. Lidar is used on heavy machinery to enable autonomous usage of the machinery and to improve worker safety. We believe that our industrial customers value the high resolution, range, small form factor, and high reliability of our digital lidar sensors.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Robotics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in the robotics industry are generally engaged in the design, production, operation, or after-market modification of small mobile human-less vehicles, which includes wheeled robots, legged robots, and drones among other vehicles. Our customers in the robotics market include both commercial entities and nonprofit entities, such as research institutions. Our customers in the robotics market are installing lidar sensors for autonomous navigation, collision avoidance, and mapping in order to provide services such as last-mile delivery, street sweeping, and asset inspection. We believe our robotics customers value the high resolution, precision, wide vertical field-of-view, and high reliability of our lidar sensors.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Smart Infrastructure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in the smart infrastructure market are generally engaged in monitoring and analyzing human and vehicle movements for the purpose of providing building security and improving roadway safety and efficiency. This market includes federal, state, and local governments as well as private commercial businesses. Unlike traditional cameras, our lidar sensors provide accurate spatial data in low lighting conditions while safeguarding privacy concerns. We believe that our smart infrastructure customers value the high resolution, 360° horizontal field-of-view, and high reliability of our digital lidar sensors. Powered by our lidar sensors and software solutions, our products provide smart infrastructure customers the ability to detect, classify, and track people and vehicles through an easy to use software user interface, allowing them to interact with lidar data indirectly and in a task-relevant manner.</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Our Competitive Strengths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strengths will allow us to maintain and extend our position as a leading provider in high-resolution lidar solutions.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Patented digital lidar technology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 we invented and patented our digital lidar technology in 2015, we have launched a suite of products built on a shared architecture. Our proprietary SoC replaces hundreds to thousands of discrete components with a single tightly integrated SPAD receiver array, and our high-efficiency VCSEL array integrates every laser into a single die. Moreover, our patented micro-optical system increases digital lidar performance by the equivalent of an orders-of-magnitude increase in detector efficiency. We believe that this architecture will allow us to continue to increase sensor performance while reducing its cost for many years to come. The Sense acquisition and the Velodyne Merger have enabled us to acquire additional intellectual property, which we believe will continue to distinguish us in the lidar space.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High performance at an affordable price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we introduce future generations of our proprietary SoC, we expect to be able to offer improved resolution, range, precision, reliability, and unlock new data types. Our simple digital architecture shared across our products results in a single manufacturing process and common supply chain for all of our sensor models that we believe results in cost advantages that help us offer lower prices to our customers while maintaining gross margins.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Flexible and scalable product architecture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employ a software-defined architecture, enabling rapid customization in the software layer, and a simple shared hardware architecture for scalable manufacturing. With software-defined products continuing to drive low-cost customization, we expect to develop new industry-specific applications, expanding our product offering without requiring significant manufacturing or inventory changes.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Large and diversified customer base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diversify our customer base by solidifying our presence in automotive, industrial, robotics, and smart infrastructure, which we believe gives us key advantages. First, our customer and market diversity add stability to our business and we are able to reduce our exposure to the risk of development delays or regulatory changes that may affect our sales to a single customer or in a particular market. Second, we believe that a large, diverse customer base will ultimately result in more engaged customers purchasing our products and help us to achieve higher sales more quickly than other companies that depend on a smaller set of customers in fewer markets. As we increase our sales volume, we expect our cost per sensor to decrease, allowing us to compete more effectively in each of the targeted markets.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Volume manufacturing today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achieve our vision of making lidar technology widely adopted, we designed our technology for high-volume manufacturing. We outsource certain product lines to our manufacturing partners Benchmark and Fabrinet, both of which have manufacturing facilities in Thailand. We believe these relationships provide multiple benefits, including allowing us to reduce our operating costs and the ability to leverage our partners’ manufacturing capacity to quickly respond to changes in demand.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Digital solid-state technology positioned to capture automotive scale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our prospective ADAS customers will select lidar suppliers primarily based on the anticipated ability to meet performance, reliability, design, and cost requirements. We believe that the solid-state digital lidar technology in our DF sensors will meet these performance, reliability, design, and cost requirements of ADAS, and lead to production wins and growth in this segment.</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Highly reliable and rugged technology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high performance, comparatively low cost, and high customization flexibility, our sensors are designed to be highly reliable. Our OS product line of sensors have achieved the highest ingress ratings in the industry—IP68 and IP69K—meaning they can survive submersion in up to 1 meter of water for 30 minutes and withstand high-temperature power washing. We believe Ouster has one of the lowest field failure rates in the industry, which reduces the total cost of ownership of our sensors.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Visionary management team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Innovation is central to our corporate culture. Ouster’s co-founders Angus Pacala and Mark Frichtl have over two decades of combined experience in lidar engineering. In collaboration with our seasoned executive management team, they drive our vision and corporate strategy. We believe that the digital lidar technology invented by our founders will continue to drive significant improvements in autonomous technology. As the Company has developed, we have built a strong supporting team, adding leaders in sales, marketing, operations, engineering, manufacturing, legal, and finance.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Our Growth Strategies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growth strategy is based upon three components: the attractive performance and cost economics of our digital lidar technology, accelerating adoption with our software solutions, and focused commercial execution.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Today, our digital lidar technology powers OS and DF sensors that are high performance, highly customizable, reliable, and cost competitive. As we continue to upgrade the SoCs powering our OS and DF sensors, we expect to improve the performance of our sensors without significant negative impact to sensor cost or form factor. We plan to leverage this dynamic to grow our sensor sales by steadily improving our product performance while consistently maintaining a competitive price point.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software solutions for multiple end markets present a significant growth opportunity. For existing lidar users, software has the potential to decrease development time and improve system performance. For customers who historically rely on other sensor modalities or lack technical expertise, the introduction of software such as Ouster Gemini can catalyze the adoption of lidar by lowering the engineering resources required to transform raw data into actionable insights.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sensor and software growth opportunities, we believe we can increase our growth through commercial execution excellence. By building a commercial organization with highly-skilled employees and efficient processes and systems, we believe we can improve our customer acquisition, accelerate existing customer growth, increase sales through distribution networks, and build valuable strategic partnerships.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 elements of our growth strategy include: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Execute on our product roadmap</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place a priority on innovation and product development. We plan to continue improving our product performance and adding unique functionality while maintaining a competitive price point. We believe that improving our products at a consistently competitive price positions us to win new and expanded business opportunities in our target markets over time.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Grow sales volumes from existing accounts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aim to create an established customer base in each of our four target markets that can be further strengthened as our relationships with customers mature. As our customers move through our pipeline from benchtop evaluation to pilot evaluation, to pre-production, and finally to production—we believe our order volumes will increase at each stage in the sales process. We expect that moving to series production can provide a material increase of up to several orders of magnitude in annual sales volume for a given customer program.</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Commercialize digital lidar for emerging automotive opportunities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cost-reduced solid-state DF sensor will meet the automotive industry’s requirements for performance, cost, and reliability in ADAS applications. As development progresses, we will strive to build and maintain relationships with global automotive OEMs and Tier 1s to further strengthen demand.</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Expand our distribution network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While the majority of our sales are direct to customers, we also sell our sensors through a domestic and international distribution network, which has expanded as a result of the Velodyne Merger. We believe these distributors enable us to reach more end customers in an operationally efficient manner. We plan to grow our existing network and establish new distribution partnerships in regions where we do not currently have partnerships. By leveraging these relationships, we believe we will be able to reach more customers faster and rapidly grow our sales.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Expand our partner ecosystem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Effectively integrating and using a lidar sensor can be a complex task for some end customers. An ecosystem of value-added software and integrator companies is growing across the world, offering perception software and tailored solutions for our target markets. We have relationships with many of these companies, and have collaborated with some of them to develop software and services based on our sensors. We intend to further develop complementary solutions and integration services that we believe will provide potential customers with the requisite technical know-how and we expect that this will accelerate our sales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Strengthen our worldwide sales and marketing presence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further grow our market share in our target markets, we intend to opportunistically scale our commercial team to serve the needs of each end market. As our market presence grows through targeted sales and marketing activity, we believe our customer base will grow. In addition, we are increasingly cross-selling within accounts, accessing new projects and opportunities within accounts where we have a beachhead position and increasing the number of addressable opportunities.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Pursue strategic transactions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explored and may continue to explore strategic acquisitions, mergers or other transactions as a means to improve our competitive position. For example, in February 2023, we completed our merger of equals with Velodyne which helped us to strengthen our financial position, technology portfolio and software offering. While we see significant and growing demand for our products today, we believe such transactions can create more expansive use cases for our products, provide greater access to target markets, improve our operating efficiency, or accelerate our product roadmap.</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Manufacturing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invested a significant amount of time and resources in streamlining our production process. Our current key manufacturing partners are Benchmark and Fabrinet, with whom we have had established relationships for multiple years. Our optical alignment processes are partially or completely automated, which reduces manufacturing time and increases our production output. Our sensors also undergo application-focused final testing, which allows us to understand the real-world performance of our sensors before they are shipped to customers. We continue to invest in building manufacturing process control systems, which provide real-time production information on the sensors produced in Thailand through integrated data stores and dashboards. This streamlined production process aims at lowering manufacturing costs.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an increasing demand for lidar to help advance automated systems with the intended goal of increasing safety, improving efficiency and enhancing productivity. Lidar’s status as a critical sensor in many applications gives us the opportunity to add enhanced value to customers by providing comprehensive solutions. There is increasing adoption of lidar across a wide variety of industries. As a result, we compete against several companies developing lidar solutions for incorporation into these developing applications, some of which may be similar to ours. Our competitors may include and are not limited to: AEye, Aeva Inc., Cepton Technologies, Innoviz Technologies, Hesai Technology, Luminar Technologies, MicroVision, Pepperl+Fuchs, Quanergy, RoboSense, Seyond, and SICK.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some of our targeted customers may have their own internal lidar development programs. Our software products may also compete against companies that provide standalone software solutions. Although we believe our line of products and innovation support position us as a leader in the lidar market, we will continue to face competition from existing, established market competitors with greater resources and new companies developing lidar solutions.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a global sales presence across the Americas, Europe, Middle East and Asia-Pacific markets. We sell directly to the majority of our customers and have also developed a global network of active distributors to sell, install and support our solutions. Our commercial team is made up of experienced leaders who have been developing a focused sales organization geared towards ramping our sales pipeline. We continue to maintain a robust sales and marketing team to meet the demands of our existing customers and expect to expand our sales efforts to attract new customers. We plan to continue to expand and optimize our dealer network to ensure that we have sufficient geographic coverage across both existing and new markets.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take a targeted marketing approach to each of our four focused markets. We develop and publish digital content designed to educate our audience on how to use Ouster’s products, and selectively use other channels and advertising methods to attract customers. We leverage opportunities to present and speak at market-specific conferences, executive events, trade shows and industry events to further develop our brand and reputation. These opportunities also allow us to showcase our technology and attract additional customer interest. Through customer feedback, industry events and strategic relationships, we continue to identify the evolving needs of our customers and, as a result, develop new and improved solutions. In addition, we have a robust social media presence and are investing in various digital marketing strategies and tools to further reach customers as well as build our brand. From time to time, we sponsor universities and other non-profit organizations to increase awareness of our technology and showcase its capabilities.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invested significant resources into research and development of our lidar-based technologies. We believe our ability to maintain a leadership position depends in part on our ongoing research and development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activities are primarily based in San Francisco, California; Ottawa, Canada; and Edinburgh, Scotland. Our research and development team is responsible for the design, development, manufacturing and testing of our products. We focus our efforts on the development of digital lidar technology, software functionality, solutions, and innovative manufacturing technologies. The research and development team also partners with our operations and supply chain teams to develop scalable and reliable manufacturing processes and aid in supply chain planning and diversification. Our team consists of engineers, technicians, scientists, operators and professionals with experience from a wide variety of the world’s leading sensing, engineering, consumer electronics, and automotive organizations.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While the U.S. has historically provided a positive legal landscape that allows safe testing and development of autonomous features, with nuances that vary from state to state, we are subject to the non-exhaustive list of regulations set forth below.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lidar technology company, we are subject to the Electronic Product Radiation Control Provisions of the Federal Food, Drug, and Cosmetic Act. These requirements are enforced by the U.S. Food and Drug Administration (“FDA”). Electronic product radiation includes laser technology. Regulations governing these products are intended to protect the public from hazardous or unnecessary exposure. Manufacturers are required to certify in product labeling and report to the FDA that their products comply with applicable performance standards as well as maintain manufacturing, testing and distribution records for their products. Furthermore, we are also subject to similar internationally harmonized standards and regulations governing the safe use of laser products. Based upon successful evaluations of the applicable laser products, followed by written attestation by international third-party certification agencies, manufacturers are required to create Self Declarations of Compliance (“SDOC”) of their products to such regulations, and label their products accordingly.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and solutions are also subject to U.S. and foreign trade and customs product classifications, including the U.S. Export Administration Regulations, U.S. Customs regulations and various economic and trade sanctions regulations administered by the U.S. Treasury Department’s Office of Foreign Assets Controls. U.S. export control laws and regulations and economic sanctions prohibit the shipment of certain products and services to countries, governments, and persons targeted by U.S. sanctions.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Similarly, we are also subject to sourcing regulations such as the requirements under the Dodd-Frank Wall Street Reform and Consumer Protection Act of 2010 and the EU Conflict Minerals Regulation 2017/821, that require us to carefully monitor our supply chain. Adherence to these requirements could adversely affect the sourcing, availability and pricing of the materials that may be used in the manufacture of components used in our products.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may use our products in applications that are regulated and/or subject to industry standards. Such applications require that our products comply with the applicable regulations and standards, including, but not limited to, functional safety, cybersecurity, product safety and product performance standards. For example, we continue to add features to our existing OS line, and we expect to design, engineer and test our new DF product line, to meet evolving U.S. and international consumer product safety and performance requirements as well as Automotive and Industrial Functional Safety, Cybersecurity and performance certifications designed to ensure the safe deployment and operation of autonomous vehicles, automotive ADAS, industrial machines and robots. Significant foreign markets also continue to develop their own respective standards to define deployment requirements for higher levels of autonomy in these jurisdictions.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subject to various international, federal, state and local laws and regulations governing the occupational health and safety of our employees and wage regulations. We are subject to the requirements of the federal Occupational Safety and Health Administration, as amended, (“OSHA”), and comparable international, state and local laws that protect and regulate employee health and safety.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Similar to companies operating in industries similar to ours, we are subject to environmental regulation, including water use, air emissions, use of recycled materials, energy sources, the storage, handling, treatment, transportation and disposal of hazardous materials and the remediation of environmental contamination. Compliance with these laws, rules and regulations may include permits, licenses and inspections of our facilities and products.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Finally, the SEC recently adopted rules that will require companies to provide certain climate-related disclosures. While we are still assessing the scope and impact of this rule given how recently it was adopted, we anticipate that this rule, as well as other ESG and sustainability-related regulation and legislation, may require us to incur significant additional costs to comply, including the implementation of significant additional internal controls and impose increased oversight obligations on our management and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employed </w:t>
      </w:r>
      <w:bookmarkStart w:id="0" w:name="i4a3b2527ccda4cd0bd30abef885e405d_80193"/>
      <w:bookmarkEnd w:id="0"/>
      <w:r>
        <w:rPr>
          <w:rFonts w:ascii="Times New Roman;sans-serif" w:hAnsi="Times New Roman;sans-serif"/>
          <w:b w:val="false"/>
          <w:color w:val="000000"/>
          <w:sz w:val="20"/>
        </w:rPr>
        <w:t>202 people on a full-time basis in the United States and 88 people on a full-time basis internationally, either directly through our international subsidiaries or through a professional employer organization. We also engaged a certain number of consultants and independent contractors to supplement our permanent workforce. None of our employees are currently represented by a labor union or covered by collective bargaining agreements. We believe we have strong and positive relations with our employees.</w:t>
      </w:r>
    </w:p>
    <w:p>
      <w:pPr>
        <w:pStyle w:val="TextBody"/>
        <w:bidi w:val="0"/>
        <w:spacing w:lineRule="auto" w:line="288" w:before="120" w:after="283"/>
        <w:jc w:val="left"/>
        <w:rPr/>
      </w:pPr>
      <w:r>
        <w:rPr>
          <w:rFonts w:ascii="Times New Roman;sans-serif" w:hAnsi="Times New Roman;sans-serif"/>
          <w:b w:val="false"/>
          <w:i/>
          <w:color w:val="000000"/>
          <w:sz w:val="20"/>
        </w:rPr>
        <w:t>Diversity, Inclusion and Belonging.</w:t>
      </w:r>
      <w:r>
        <w:rPr>
          <w:color w:val="000000"/>
        </w:rPr>
        <w:t xml:space="preserve"> </w:t>
      </w:r>
      <w:r>
        <w:rPr>
          <w:rFonts w:ascii="Times New Roman;sans-serif" w:hAnsi="Times New Roman;sans-serif"/>
          <w:b w:val="false"/>
          <w:color w:val="000000"/>
          <w:sz w:val="20"/>
        </w:rPr>
        <w:t>To attract, motivate and retain a highly-skilled workforce throughout our organization, we are focused on facilitating a safe and inclusive work environment that leverages the capabilities of our employees and encourages diversity of thought. In furtherance of these objectives, we provide Diversity, Inclusion, and Belonging training for our employees to promote a healthy and inclusive organizational culture.</w:t>
      </w:r>
    </w:p>
    <w:p>
      <w:pPr>
        <w:pStyle w:val="TextBody"/>
        <w:bidi w:val="0"/>
        <w:spacing w:lineRule="auto" w:line="288" w:before="120" w:after="283"/>
        <w:jc w:val="left"/>
        <w:rPr/>
      </w:pPr>
      <w:r>
        <w:rPr>
          <w:rFonts w:ascii="Times New Roman;sans-serif" w:hAnsi="Times New Roman;sans-serif"/>
          <w:b w:val="false"/>
          <w:i/>
          <w:color w:val="000000"/>
          <w:sz w:val="20"/>
        </w:rPr>
        <w:t>Employee engagement.</w:t>
      </w:r>
      <w:r>
        <w:rPr>
          <w:color w:val="000000"/>
        </w:rPr>
        <w:t xml:space="preserve"> </w:t>
      </w:r>
      <w:r>
        <w:rPr>
          <w:rFonts w:ascii="Times New Roman;sans-serif" w:hAnsi="Times New Roman;sans-serif"/>
          <w:b w:val="false"/>
          <w:color w:val="000000"/>
          <w:sz w:val="20"/>
        </w:rPr>
        <w:t>We prioritize employee engagement and value employee feedback, which we gauge through an annual employee engagement survey that helps us monitor both engagement and satisfaction and provides an additional reference point for evaluating initiatives aimed at enhancing our employees’ experience.</w:t>
      </w:r>
    </w:p>
    <w:p>
      <w:pPr>
        <w:pStyle w:val="TextBody"/>
        <w:bidi w:val="0"/>
        <w:spacing w:lineRule="auto" w:line="288" w:before="120" w:after="283"/>
        <w:jc w:val="left"/>
        <w:rPr/>
      </w:pPr>
      <w:r>
        <w:rPr>
          <w:rFonts w:ascii="Times New Roman;sans-serif" w:hAnsi="Times New Roman;sans-serif"/>
          <w:b w:val="false"/>
          <w:i/>
          <w:color w:val="000000"/>
          <w:sz w:val="20"/>
        </w:rPr>
        <w:t>Compensation and Benefits.</w:t>
      </w:r>
      <w:r>
        <w:rPr>
          <w:color w:val="000000"/>
        </w:rPr>
        <w:t xml:space="preserve"> </w:t>
      </w:r>
      <w:r>
        <w:rPr>
          <w:rFonts w:ascii="Times New Roman;sans-serif" w:hAnsi="Times New Roman;sans-serif"/>
          <w:b w:val="false"/>
          <w:color w:val="000000"/>
          <w:sz w:val="20"/>
        </w:rPr>
        <w:t>We offer what we consider attractive compensation and benefit packages, which may include depending on location and eligibility, annual bonuses, paid time-off, 401(k) and Company match (subject to the IRS annual limit), stock awards, employee stock purchase plans, health and wellness programs and other benefits. Our long-term equity compensation is intended to align management interests with those of our stockholders and to encourage the creation of long-term value.</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Additional Information</w:t>
      </w:r>
    </w:p>
    <w:p>
      <w:pPr>
        <w:pStyle w:val="TextBody"/>
        <w:bidi w:val="0"/>
        <w:spacing w:lineRule="auto" w:line="276" w:before="0" w:after="0"/>
        <w:jc w:val="left"/>
        <w:rPr/>
      </w:pPr>
      <w:r>
        <w:rPr>
          <w:rFonts w:ascii="Times New Roman;sans-serif" w:hAnsi="Times New Roman;sans-serif"/>
          <w:b w:val="false"/>
          <w:color w:val="000000"/>
          <w:sz w:val="20"/>
        </w:rPr>
        <w:t xml:space="preserve">Our Internet address is </w:t>
      </w:r>
      <w:r>
        <w:rPr>
          <w:rFonts w:ascii="Times New Roman;sans-serif" w:hAnsi="Times New Roman;sans-serif"/>
          <w:b w:val="false"/>
          <w:i/>
          <w:color w:val="000000"/>
          <w:sz w:val="20"/>
        </w:rPr>
        <w:t>https://ouster.com</w:t>
      </w:r>
      <w:r>
        <w:rPr>
          <w:rFonts w:ascii="Times New Roman;sans-serif" w:hAnsi="Times New Roman;sans-serif"/>
          <w:b w:val="false"/>
          <w:color w:val="000000"/>
          <w:sz w:val="20"/>
        </w:rPr>
        <w:t xml:space="preserve">. At our Investor Relations website, </w:t>
      </w:r>
      <w:r>
        <w:rPr>
          <w:rFonts w:ascii="Times New Roman;sans-serif" w:hAnsi="Times New Roman;sans-serif"/>
          <w:b w:val="false"/>
          <w:i/>
          <w:color w:val="000000"/>
          <w:sz w:val="20"/>
        </w:rPr>
        <w:t>https://investors.ouster.com</w:t>
      </w:r>
      <w:r>
        <w:rPr>
          <w:rFonts w:ascii="Times New Roman;sans-serif" w:hAnsi="Times New Roman;sans-serif"/>
          <w:b w:val="false"/>
          <w:color w:val="000000"/>
          <w:sz w:val="20"/>
        </w:rPr>
        <w:t xml:space="preserve">, we make available free of charge a variety of information for investors, including our Annual Reports on Form 10-K, Quarterly Reports on Form 10-Q, Current Reports on Form 8-K and any amendments to those reports, as soon as reasonably practicable after we electronically file that material with or furnish it to the SEC. Our filings with the SEC can also be accessed through the SEC’s website at </w:t>
      </w:r>
      <w:r>
        <w:rPr>
          <w:rFonts w:ascii="Times New Roman;sans-serif" w:hAnsi="Times New Roman;sans-serif"/>
          <w:b w:val="false"/>
          <w:i/>
          <w:color w:val="000000"/>
          <w:sz w:val="20"/>
        </w:rPr>
        <w:t>http://www.sec.gov</w:t>
      </w:r>
      <w:r>
        <w:rPr>
          <w:rFonts w:ascii="Times New Roman;sans-serif" w:hAnsi="Times New Roman;sans-serif"/>
          <w:b w:val="false"/>
          <w:color w:val="000000"/>
          <w:sz w:val="20"/>
        </w:rPr>
        <w:t>. Our website and the information included in or linked to our website are not part of this Annual Report on Form 10-K or any other report we file with, or furnish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Our business involves significant risks and uncertainties, some of which are described below. You should carefully consider the risks and uncertainties described below, together with all of the other information contained in this Annual Report on Form 10-K.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limited operating history makes it difficult to evaluate our future prospects and the risks and challenges we may encounter.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company has a limited operating history, having been in operation since 2015. Our limited operating history makes it difficult for us to evaluate our future prospects. Certain factors that could alone or in combination prevent us from successfully commercializing our products include: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reliance on third parties to manufacture our products or supply significant parts needed for our production process;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establish and maintain successful relationships with our manufacturers and suppliers;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tailor our commercial production depending on scale and on a cost-effective basis in a timely manner;</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successfully expand our product offerings;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develop and protect intellectual property;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our ability to gain market acceptance of our products with customers and maintain and expand customer relationships;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the adaptability of our products and the ability of our customers to integrate our products into their products in a timely and effective manner;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the actions of direct and indirect competitors that may seek to enter the markets in which we expect to compete or that may seek to impose barriers to one or more markets that we intend to target;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the long-lead time for development of market opportunities, for which we are only at an early stage of development;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our ability to forecast our revenue, budget, and manage our expenses;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comply with existing and new or modified local laws and regulations applicable to our business, or laws and regulations applicable to our customers for applications in which they may use our products;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our ability to plan for and manage capital expenditures for our current and future products, and manage our supply chain and supplier relationships related to these current and future products;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our ability to anticipate and respond to macroeconomic changes and changes in the markets in which we operate and expect to operate;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maintain and enhance the value of our reputation and brand;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effectively manage our growth and business operations;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recruit and retain talented people at all levels of our organization.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fail to understand fully or adequately address the challenges that we are currently encountering or that we may encounter in the future, including those challenges described here and elsewhere in this Part I, Item 1A. “Risk Factors,” our business, financial condition and results of operations could be adversely and materially affected. If the risks and uncertainties that we plan for when operating our business are incorrect or change, or if we fail to manage these risks successfully, our results of operations could differ materially from our expectations and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future results will suffer if we do not recognize anticipated synergies, effectively manage the expanded operations or successfully integrate the businesses of Velodyne.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future success will depend, in part, upon our ability to manage the expanded business, including challenges related to the management and monitoring of new operations and associated increased costs and complexity associated with the Velodyne Merger and other mergers. If we are not able to successfully complete integrations in an efficient and cost-effective manner, the anticipated benefits of this merger may not be realized fully, or at all, or may take longer to realize than expected, and the value of our common stock may be affected adversely. An inability to realize the full extent of the anticipated benefits of the Velodyne Merger, as well as any delays encountered in the integration processes, could have an adverse effect on our business, financial condition or results of operations. In addition, the actual integrations may result in additional and unforeseen expenses, including increased legal, accounting and compliance costs.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have incurred significant losses to date and may never achieve or sustain profitability.</w:t>
      </w:r>
    </w:p>
    <w:p>
      <w:pPr>
        <w:pStyle w:val="TextBody"/>
        <w:bidi w:val="0"/>
        <w:spacing w:lineRule="auto" w:line="288" w:before="120" w:after="283"/>
        <w:jc w:val="left"/>
        <w:rPr/>
      </w:pPr>
      <w:r>
        <w:rPr>
          <w:rFonts w:ascii="Times New Roman;sans-serif" w:hAnsi="Times New Roman;sans-serif"/>
          <w:b w:val="false"/>
          <w:color w:val="000000"/>
          <w:sz w:val="20"/>
        </w:rPr>
        <w:t>We have experienced net losses in each year since our inception. In the years ended December 31, 2023 and 2022, we incurred net losses</w:t>
      </w:r>
      <w:r>
        <w:rPr>
          <w:color w:val="000000"/>
          <w:shd w:fill="FFFFFF" w:val="clear"/>
        </w:rPr>
        <w:t xml:space="preserve"> </w:t>
      </w:r>
      <w:r>
        <w:rPr>
          <w:rFonts w:ascii="Times New Roman;sans-serif" w:hAnsi="Times New Roman;sans-serif"/>
          <w:b w:val="false"/>
          <w:color w:val="000000"/>
          <w:sz w:val="20"/>
          <w:shd w:fill="FFFFFF" w:val="clear"/>
        </w:rPr>
        <w:t xml:space="preserve">of </w:t>
      </w:r>
      <w:r>
        <w:rPr>
          <w:rFonts w:ascii="Times New Roman;sans-serif" w:hAnsi="Times New Roman;sans-serif"/>
          <w:b w:val="false"/>
          <w:color w:val="000000"/>
          <w:sz w:val="20"/>
        </w:rPr>
        <w:t xml:space="preserve">$374.1 million </w:t>
      </w:r>
      <w:r>
        <w:rPr>
          <w:rFonts w:ascii="Times New Roman;sans-serif" w:hAnsi="Times New Roman;sans-serif"/>
          <w:b w:val="false"/>
          <w:color w:val="000000"/>
          <w:sz w:val="20"/>
          <w:shd w:fill="FFFFFF" w:val="clear"/>
        </w:rPr>
        <w:t>and $138.6 million</w:t>
      </w:r>
      <w:r>
        <w:rPr>
          <w:rFonts w:ascii="Times New Roman;sans-serif" w:hAnsi="Times New Roman;sans-serif"/>
          <w:b w:val="false"/>
          <w:color w:val="000000"/>
          <w:sz w:val="20"/>
        </w:rPr>
        <w:t xml:space="preserve">, respectively. We expect to continue to incur losses for the foreseeable future as we expand our product offering and continue to scale our commercial operations and research and development program. As of December 31, 2023, we had an accumulated deficit of </w:t>
      </w:r>
      <w:r>
        <w:rPr>
          <w:rFonts w:ascii="Times New Roman;sans-serif" w:hAnsi="Times New Roman;sans-serif"/>
          <w:b w:val="false"/>
          <w:color w:val="000000"/>
          <w:sz w:val="20"/>
          <w:shd w:fill="FFFFFF" w:val="clear"/>
        </w:rPr>
        <w:t>$816.0 million</w:t>
      </w:r>
      <w:r>
        <w:rPr>
          <w:rFonts w:ascii="Times New Roman;sans-serif" w:hAnsi="Times New Roman;sans-serif"/>
          <w:b w:val="false"/>
          <w:color w:val="000000"/>
          <w:sz w:val="20"/>
        </w:rPr>
        <w:t>. Even if we are able to increase the sales of our products, there can be no assurance that we will be profitable.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we will continue to incur significant losses for the foreseeable future as we: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hire additional personnel, as needed, to support investments in research and development (“R&amp;D”), in order to develop technology and related software and to support the compliance needs in connection with being a public company;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increase our sales and marketing functions, including expansion of our customer support and distribution capabilities;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continue to integrate the operations of Velodyne following our recent merger;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expand operations and manufacturing.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our products do not achieve sufficient market acceptance, we will not become profitable. If we fail to become profitable, or if we are unable to fund our business we may be unable to continue our operations. There can be no assurance that we will ever achieve or sustain profitability.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expect to incur substantial R&amp;D costs and devote significant resources to developing and commercializing new products, which could significantly affect our ability to become profitable and may not result in revenue to us. Any delay or interruption of the development and commercialization of new products may adversely affect our existing business and prospects for securing future business.</w:t>
      </w:r>
    </w:p>
    <w:p>
      <w:pPr>
        <w:pStyle w:val="TextBody"/>
        <w:bidi w:val="0"/>
        <w:spacing w:lineRule="auto" w:line="288" w:before="120" w:after="283"/>
        <w:jc w:val="left"/>
        <w:rPr/>
      </w:pPr>
      <w:r>
        <w:rPr>
          <w:rFonts w:ascii="Times New Roman;sans-serif" w:hAnsi="Times New Roman;sans-serif"/>
          <w:b w:val="false"/>
          <w:color w:val="000000"/>
          <w:sz w:val="20"/>
        </w:rPr>
        <w:t>Our future growth depends on penetrating new markets, adapting existing products to new applications and customer requirements, and introducing new and effective products at an opportune time that may then achieve market acceptance. To remain competitive, we continue to develop new products and expand our existing product offerings. For instance, in October 2022, we announced our newest OS series scanning sensor, REV7,</w:t>
      </w:r>
      <w:r>
        <w:rPr>
          <w:color w:val="000000"/>
        </w:rPr>
        <w:t xml:space="preserve"> </w:t>
      </w:r>
      <w:r>
        <w:rPr>
          <w:rFonts w:ascii="Times New Roman;sans-serif" w:hAnsi="Times New Roman;sans-serif"/>
          <w:b w:val="false"/>
          <w:color w:val="000000"/>
          <w:sz w:val="20"/>
        </w:rPr>
        <w:t>powered by its next-generation L3 chip. REV7 features the all-new OSDome sensor, as well as upgraded OS0, OS1, and OS2 sensors that deliver double the range, enhanced object detection, increased precision and accuracy, and greater reliability. introduced the market. In January 2023, we announced the release of our software, Ouster Gemini, a cloud-backed digital lidar perception platform for crowd analytics, security, and intelligent transportation systems. Ouster Gemini offers the ability to detect, classify, and track moving objects in real-time using the 3D data from a single or multiple fused Ouster lidar sensors. In connection with REV7, Ouster Gemini, and future releases, we expect to incur substantial, and potentially increasing, R&amp;D costs. Our R&amp;D expenses were $91.2 million and $64.3 million during the years ended December 31, 2023 and 2022, respectively, and are likely to grow in the future, particularly as a result of the Velodyne Merger. Because we account for R&amp;D as an operating expense, these expenditures will adversely affect our results of operations in the future.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our R&amp;D program may be delayed and may not produce timely results. If we cannot produce successful results in time to accommodate customers’ or potential customers’ development timelines, we may lose business. If we are unsuccessful in introducing these products in accordance with our product launch plans or any publicly announced launch dates, it may be injurious to our reputation and brand and adversely affect our ability to be competitive in our four target markets and potential new markets. In launching such products, we may face foreseen and unforeseen difficulties that adversely affect such commercialization and could have a material adverse effect on our operations and business. Additionally, the success of our competitors’ R&amp;D efforts, including producing higher performing products or providing products competitive to our new products to our customers before us, may result in loss of business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promise of new products and successful R&amp;D may even decrease our expected and actual revenue attributable to existing products, as historically, customers have delayed or cancelled outstanding purchasing commitments for certain products in anticipation of the release of new generation products from the Company. There is no guarantee that these delays and cancellations will not occur again in the future as we develop, announce and commercialize new products like our DF solid-state lidar sensor or our complementary software solutions.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overcome our limited sales history and establish and maintain confidence in our long-term business prospects among customers in our target markets or if our revenue opportunity does not materialize into sales and revenue, then our financial condition, operating results, business prospects and access to capital may suffer materially.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company has a limited sales history, as we only commenced selling our first revenue grade products in late 2018. Because of our limited sales history, we have limited experience managing and growing our relationships with existing customers and securing new customers in our target industries.</w:t>
      </w:r>
    </w:p>
    <w:p>
      <w:pPr>
        <w:pStyle w:val="TextBody"/>
        <w:bidi w:val="0"/>
        <w:spacing w:lineRule="auto" w:line="288" w:before="120" w:after="283"/>
        <w:jc w:val="left"/>
        <w:rPr/>
      </w:pPr>
      <w:r>
        <w:rPr>
          <w:rFonts w:ascii="Times New Roman;sans-serif" w:hAnsi="Times New Roman;sans-serif"/>
          <w:b w:val="false"/>
          <w:color w:val="000000"/>
          <w:sz w:val="20"/>
        </w:rPr>
        <w:t>Our relationships with many of our existing customers are limited as they may not be prepared to select Ouster as a long-term supplier given our limited operating and sales history. To establish preliminary relationships with certain customers and to build their confidence, we have entered, and may continue to enter, into evaluation agreements, spot buy purchase orders, non-binding letters of intent, and strategic customer agreements. These agreements are largely non-binding, do not include any minimum obligation to purchase any quantities of any products at this time, and do not require that the parties enter into a subsequent definitive, long-term, binding agreements; however, these preliminary agreements assist the Company in building confidence with customers if we are able to effectively perform and otherwise maintain positive relationships with them. If we are unable to build confidence with our existing customers, either through these preliminary agreements (due to any failure to enter into or perform under the agreements) or otherwise, or if we are unable to secure opportunities from these non-binding agreements, including those involving strategic customers,</w:t>
      </w:r>
      <w:r>
        <w:rPr>
          <w:color w:val="000000"/>
        </w:rPr>
        <w:t xml:space="preserve"> </w:t>
      </w:r>
      <w:r>
        <w:rPr>
          <w:rFonts w:ascii="Times New Roman;sans-serif" w:hAnsi="Times New Roman;sans-serif"/>
          <w:b w:val="false"/>
          <w:color w:val="000000"/>
          <w:sz w:val="20"/>
        </w:rPr>
        <w:t>we may be unable to produce accurate forecasts or become profitable.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new customers, or customers that we inherited from the Velodyne Merger, may be less confident in us and less likely to purchase our products because of a lack of awareness about our products. They may also not be convinced that our business will succeed because of the absence of an established sales, service, support, and operating history. To address this, we must, among other activities, grow and improve our marketing capability and brand awareness, which may be costly. These activities may not be effective or could delay our ability to capitalize on the opportunities that we believe are suitable to our technology and products and may prevent us from successfully commercializing our products.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build and maintain our business, we must maintain confidence in our products, long-term financial viability and business prospects. Failure to establish and maintain customer confidence may also adversely affect our reputation and business among our suppliers, analysts, ratings agencies, stockholders and other interested parties.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operating results may fluctuate significantly, which makes our future operating results difficult to predict and could cause our operating results to fall below expectations or any guidance we may provide and could cause our stock price to fluctuate or decline.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operating results may fluctuate significantly, which makes it difficult for us to predict our future operating results. Our financial results may fluctuate as a result of a variety of factors, including:</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timing of ultimate end market and customer adoption of our products and particular versions of our products;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varying length of production cycles for our customers to integrate our products into their broader platforms;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supply chain constraints and considerations and impacts on our costs of goods sold, such as shortages of semiconductor chips;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product mix and average selling prices, including negotiated selling prices and long-term customer agreements;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cost of raw materials or supplied components critical for the manufacture of our products;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timing and cost of, and level of investment in, research and development relating to our digital lidar technology and related software;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developments involving our competitors;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changes in governmental regulations affecting us or applications in which our customers use our products or software;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future accounting pronouncements or changes in our accounting policies;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impact of epidemics or pandemics, including current or future business disruption and related financial impact resulting from the global COVID-19 health crisis;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adverse litigation, judgments, settlements or other litigation-related costs, or claims that may give rise to such costs;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general market conditions and other factors, including factors unrelated to our operating performance or the operating performance of our competitors.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Many of these factors are outside of our control and may not accurately reflect the underlying performance of our business. The individual or cumulative effects of factors discussed above could result in large fluctuations and unpredictability in our quarterly and annual operating results. As a result, comparing our operating results on a period-to-period basis may not be meaningful.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if our performance is consistent with any previously publicly stated guidance.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revenue and margins could be adversely affected if we fail to maintain competitive average selling prices, high sales volumes, and/or fail to reduce product costs.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Cost-cutting initiatives adopted by our customers often place increased downward pressure on our average selling prices. We also expect that any long term or high-volume agreements with customers may require step-downs in pricing over the term of the agreement or, if commercialized, over the period of production. We strive to keep our average selling price competitive and expect to achieve profitability by maintaining competitive average sales prices and through continually lower product costs. Our average selling price may be driven down by customer-specific selling price fluctuations such as non-standard discounts on large volume purchases. These lower average selling prices on large volume purchases may cause fluctuations in revenue and gross margins on a quarterly and annual basis and ultimately adversely affect our profitability. We have experienced and may in the future experience declines in the average selling prices of our products generally as our customers seek to commercialize autonomous systems at prices low enough to achieve market acceptance and as our competitors continue to produce and commercialize lower cost competing technologies. To achieve profitability and maintain margins, we will also need to continually reduce product and manufacturing costs. Reductions in product and manufacturing costs are principally achieved by scaling our production volumes and through step changes in manufacturing and continued engineering of the most cost-effective designs for our products. Further, as we continue to provide support for REV6, we anticipate downward pressure on our margins. In addition, we must continuously drive initiatives to reduce labor cost, improve worker efficiency, reduce the cost of materials and further lower overall product costs by carefully managing component prices, inventory and shipping cost. We need to continually increase sales volume and introduce new, lower-cost products in order to maintain our overall gross margin. If we are unable to maintain competitive average selling prices, increase our sales volume or successfully introduce new, low-cost products, our revenue and overall gross margin will likely decline.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compete against established market participants that have substantially greater resources than us and against known and unknown market entrants who may disrupt our target markets.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target markets are highly competitive and we may not be able to compete effectively in the market against these competitors. Competitors may offer lidar products at lower prices than ours, including pricing that we believe is below their cost, or may offer superior performing lidar products. These companies also compete with us indirectly by attempting to solve some of the same challenges with different technology. Established competitors in the market for lidar sensors have significantly greater resources and more experience than we do. These competitors have commercialized lidar technology that has achieved market adoption, strong brand recognition and may continue to improve in both anticipated and unanticipated ways. They may also have entered into commercial relationships with key customers and have built relationships and dependencies between themselves and those key customers.</w:t>
      </w:r>
    </w:p>
    <w:p>
      <w:pPr>
        <w:pStyle w:val="TextBody"/>
        <w:bidi w:val="0"/>
        <w:spacing w:lineRule="auto" w:line="288" w:before="120" w:after="283"/>
        <w:jc w:val="left"/>
        <w:rPr/>
      </w:pPr>
      <w:r>
        <w:rPr>
          <w:rFonts w:ascii="Times New Roman;sans-serif" w:hAnsi="Times New Roman;sans-serif"/>
          <w:b w:val="false"/>
          <w:color w:val="000000"/>
          <w:sz w:val="20"/>
        </w:rPr>
        <w:t>In addition to current market competitors, new competitors may enter the lidar market or create products that function as an alternative to lidar, which may disrupt the commercial landscape of our target markets in ways that we may not be able to adapt to adequately or in a timely fashion.</w:t>
      </w:r>
      <w:r>
        <w:rPr>
          <w:color w:val="000000"/>
        </w:rPr>
        <w:t xml:space="preserve"> </w:t>
      </w:r>
      <w:r>
        <w:rPr>
          <w:rFonts w:ascii="Times New Roman;sans-serif" w:hAnsi="Times New Roman;sans-serif"/>
          <w:b w:val="false"/>
          <w:color w:val="000000"/>
          <w:sz w:val="20"/>
        </w:rPr>
        <w:t>The already competitive landscape of the lidar market, including both foreseeable and unforeseeable entries of competitors and lidar technology from those competitors in our target markets, along with the potential emergence of new non-lidar solutions, may result in downward pricing pressure, reduced margins and may impede our ability to increase the sales of our products or cause us to lose market share, any of which will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target many customers that are large corporations with substantial negotiating power and exacting product standards. If we are unable to sell our products to these customers, our prospects and results of operations will be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current and potential customers are large corporations that often possess significant leverage over their suppliers, and can successfully demand contract terms favorable to themselves, such as reserving the right to terminate their supply contracts for convenience. The disparities in negotiating power between us and larger corporations have required, and may require in the future, that we accept less favorable contract terms. These large corporations also have exacting technical specifications and requirements that we have been unable to, and may continue to be unable to, meet, thereby precluding our ability to secure sales. Meeting the technical requirements to secure and maintain significant contracts with any of these companies will require a substantial investment of our time and resources, and if we fail to comply with our customers’ technical specifications and standards, we may lose existing and future business. Even when we succeed in securing contracts, these large companies have required, and may require in the future, evolving technical specifications for our products and may terminate our agreement or make a later determination that our products are not satisfactory, and even set a standard for the industry that we may not be able to meet. We therefore have no assurance that we can establish relationships with these companies, that our products will meet the needs of these or other companies, or that a contract with these companies will culminate in significant or any product sales.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in some instances, these large companies may have internally developed products and solutions that are competitive to our products. These companies may have substantial research and development resources, which may allow them to acquire or develop independently, or in partnership with others, competitive technologies. Such activities may foreclose significant sales opportunities for our products.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our products are not selected for inclusion in our target markets, our business will be materially and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our products are designed for use in multiple markets, each of our target or new markets may have unique features and demands. If we are unsuccessful in meeting this demand, it may affect our entrance into these target or new markets which could adversely affect our future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are used in a wide variety of existing and emerging use cases in the industrial market, where our target customers are generally engaged in the manufacturing, operation, or after-market modification of heavy industrial machinery. These customers tend to be large companies that move slowly to larger scale production, often with years-long timelines. If our products are not chosen for deployment in these projects, or we lose a program under any circumstances, we may not have an opportunity to obtain that business again for many years. Industrial automation is a demanding industry with product specifications that our products may not always meet.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also are used in a wide variety of existing and emerging use cases in the smart infrastructure market, which generally consists of public bodies and private commercial businesses engaging in the monitoring and analysis of pedestrian and vehicle movements for the purpose of providing building security, improving road user safety, and increasing roadway efficiency. This is still a nascent market, and while this industry is experimenting with the use of lidar in these applications, our customers may decide that lidar is not a viable solution for a variety of reasons, including price points, interoperability, and integration of lidar sensors. Customers in this market are often local governments, such as city governments, which may be subject to political pressures, and may not control their own budgets. For example, programs could be cancelled due to legislative action that is out of a local government’s control.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also may be purchased by automotive OEMs and their suppliers in connection with their design and development of autonomous driving and ADAS technology. These programs are time and resource intensive, requiring thousands of man hours and several years. Automotive OEMs and suppliers undertake extensive testing or qualification processes prior to placing orders for large quantities of products such as ours, because such products will function as part of a larger system or platform and must meet other specifications. We spend significant time and resources to pursue the business of having our products selected by automotive OEMs and their suppliers for use in the manufacture of a particular vehicle model. If we are not chosen to supply products to Tiers 1s, OEMs may be less inclined to select our products for a particular vehicle model, which could turn into a lost opportunity to supply our products to this automotive OEM for a period of several years. If our products are not selected by an automotive OEM or its suppliers for one vehicle model or if our products are not successful in that vehicle model, it is less likely that our products will be deployed in other vehicle models of that OEM. If we fail to win a significant number of vehicle models from one or more of automotive OEMs or their suppliers, our business, results of operations and financial condition may be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also are used in a wide variety of existing and emerging use cases in the robotics market, in which our customers are generally engaged in the design, production, operation, or after-market modification of small mobile unmanned vehicles, which includes wheeled robots, legged robots, and drones. This is a competitive market that often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strict functional and pricing requirements for products. If we are unable to make products that meet these requirements, or sell products at the required price point, we could lose this business to competitors or competitive technologies. There are diverse and potentially conflicting requirements across the robotics industry that may force us to prioritize certain segments over others, resulting in a lower total available market. Our target markets involve risks of program delay, loss, and cancellation.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The complexity of our products could result in unforeseen delays or expenses from undetected defects, errors or reliability issues in hardware or software which could reduce the market adoption of our new products, damage our reputation with current or prospective customers, expose us to product liability and other claims and adversely affect our operating costs.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are highly technical and very complex and require high standards to manufacture and have in the past and will likely in the future experience defects, errors or reliability issues at various stages of development. We may be unable to timely release new products, manufacture existing products, correct problems that have arisen or correct such problems to our customers’ satisfaction. Additionally, undetected errors, defects or reliability issues, especially as new products are introduced or as new versions are released, could result in serious injury to the end users of technology incorporating our products, or those in the surrounding area, our customers never being able to commercialize technology incorporating our products, litigation against us, negative publicity and other consequences. These risks are particularly prevalent in the autonomous driving and ADAS markets. Some errors or defects in our products may only be discovered after they have been tested, commercialized and deployed by customers. If that is the case, we may incur significant additional development costs and product recall expenses, repair and/or replacement costs. These problems may also result in claims, including class actions, against us by our customers or others. Our reputation or brand may be damaged as a result of these problems and customers may be reluctant to buy our products, which could adversely affect our ability to retain existing customers and attract new customers and could adversely affect our financial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could face material legal claims for breach of contract, product liability, fraud, tort or breach of warranty as a result of these problems. Defending a lawsuit, regardless of its merit, could be costly and may divert management’s attention and adversely affect the market’s perception of us and our products. In addition, our business liability insurance coverage could prove inadequate with respect to a claim and future coverage may be unavailable on acceptable terms or at all. These product-related issues could result in claims against us and our business could be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use our solutions in autonomous driving and ADAS applications, which present the risk of significant injury, including fatalities. We may be subject to claims if a product using our lidar technology is involved in an accident and persons are injured or purport to be injured. Any insurance that we carry may not be sufficient or it may not apply to all situations. Similarly, our customers could be subjected to claims as a result of such accidents and bring legal claims against us to attempt to hold us liable. In addition, if lawmakers or governmental agencies were to determine that the use of our products or autonomous driving or certain ADAS applications increased the risk of injury to all or a subset of our customers, they may pass laws or adopt regulations that limit the use of our products or increase our liability associated with the use of our products or that regulate the use of or delay the deployment of autonomous driving and ADAS technology. Any of these events could adversely affect our brand, relationships with customers, operating results or financial condition.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incur significant direct or indirect liabilities in connection with our product warranties which could adversely affect our business and operating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typically offer a limited product warranty that requires our products to conform to the applicable specifications and be free from defects in materials and workmanship for one to two years. As a result of increased competition and changing standards in our target markets, we may be required to increase our warranty period length and the scope of our warranty. To be competitive, we may be required to implement these increases before we are able to determine the economic impact of an increase. Accordingly, we may be at risk that any such warranty increase could result in foreseeable and unforeseeable losses for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particular, the usage of our products by target customers could make us liable for warranty claims and pecuniary and reputational damages. In our target markets, our products may be placed in physical locations and environments that present harsh operating conditions, or that present a risk of product damage due to accidents or vandalism. This may result in more product failures than we anticipate, and may require us to provide warranties for our products beyond our knowledge of their performance. This could increase the rate of customer returns and warranty claims, resulting in higher-than-expected operating costs for us. Product failures may also affect market acceptance of our products and our ability to win future business. Any negative publicity related to the perceived quality of our products could affect our brand image, partner and customer demand, and adversely affect our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require additional capital in order to execute our business plan, which may not be available on terms acceptable to us, or at all.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require additional capital in order to execute on our business plan, and we may require additional capital to fund our R&amp;D efforts and to respond to technological advancements, competitive dynamics or technologies, customer demands, business opportunities, challenges, acquisitions or unforeseen circumstances and we may determine to utilize our “at-the-market” offering program or engage in equity or debt financings or enter into credit facilities for other reasons. In order to stay on our growth trajectory and further business relationships with current or potential customers or partners, or for other reasons, we may issue equity or equity-linked securities to such current or potential customers or partners. We may not be able to timely secure additional debt or equity financing on favorable terms, or at all, particularly in an uncertain economic environment. We maintain the majority of its cash and cash equivalents in accounts with major U.S. and multi-national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raise additional funds through the issuance of equity or convertible debt, including through our “at-the-market” offering program, or other equity-linked securities or if we issue equity or equity-linked securities to current or potential customers to further business relationships,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when we require it, our ability to continue to grow or support our business and to respond to business challenges could be significantly limited and our business results and operations could be materially and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face risks related to our indebtedness.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total outstanding debt of $44.0 million under our credit agreement with UBS Bank USA and UBS Financial Services Inc. We may incur additional indebtedness in the future. This credit agreement contains various covenants and other restrictions as described in Note 6, Debt included in the notes to consolidated financial statements included elsewhere in this Form 10-K. Our leverage could have important consequences to us, including: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exposing us to the risk of increased interest rates as our borrowings under our current debt facilities are at variable rates;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making it more difficult for us to make payments on our debt;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limiting our ability to pay future dividends;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increasing our vulnerability to downturns in our business, the storage and organization retail industry or the general economy and limiting our flexibility in planning for, or reacting to, changes in our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requiring a substantial portion of cash flow from operations to be dedicated to the payment of principal and interest on our debt, thereby reducing our ability to use our cash flow to fund our operations, capital expenditures, and future business opportunities;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restricting us from making strategic acquisitions or causing us to make non-strategic divestitures;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requiring us to comply with financial and operational covenants including leverage covenants, restricting us, among other things, from placing liens on our assets, making investments, incurring debt, making payments to our equity or debt holders and engaging in transactions with affiliates;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limiting our ability to obtain additional financing for working capital, capital expenditures, product development, debt service requirements, acquisitions, and general corporate or other purposes;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preventing us from taking advantage of business opportunities as they arise or successfully carrying out our plans to expand our store base and product offerings;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placing us at a competitive disadvantage compared to our competitors who may be less leveraged.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Consequences of this indebtedness may require a substantial portion of cash flow from operations to be dedicated to the payment of principal and interest on our debt, thereby reducing our ability to use our cash flow to fund operations, capital expenditures, and future business opportunities. If we cannot generate sufficient cash flow from operations to service our debt, we may need to refinance our debt, dispose of assets or issue equity to obtain necessary funds. We do not know whether we would be able to take any of these actions on a timely basis, on terms satisfactory to us, or at all. A failure by us or our subsidiaries to comply with the agreements governing our indebtedness could result in an event of default under such indebtedness, which could adversely affect our ability to respond to changes in our business and manage our operations. Upon the occurrence of an event of default under any of the agreements governing our indebtedness, the lenders could elect to declare all amounts outstanding to be due and payable and exercise other remedies as set forth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agreements. If any of our indebtedness were to be accelerated, there can be no assurance that our assets would be sufficient to repay this indebtedness in full, which could have a material adverse effect on our ability to continue to operate as a going concern.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Market adoption of lidar remains uncertain, and it is difficult to forecast long-term end-customer adoption rates and demand for our products.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revenue is generated by the sale of our digital lidar sensors. Given the evolving nature of the markets in which we operate, it is difficult to predict the customer demand or adoption rates for lidar technology generally or our products specifically. If demand does not develop or if we cannot accurately forecast customer demand, our future financial results, business, results of operations and financial condition will be adversely affected. If current or prospective customers have a negative perception of, or experience with, lidar or a competitor’s lidar products they may be reluctant to adopt lidar in general or specifically our products. Any negative publicity, regardless of its accuracy, could materially and adversely affect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existing or new non-lidar technologies may emerge as customers’ preferred alternative to lidar and may adversely affect the adoption of our lidar solutions and of lidar generally. Significant developments in alternative technologies, such as cameras and radar, may materially and adversely affect our business, prospects, financial condition and operating results in ways we do not currently anticipate. Any failure by us or the lidar market generally to develop new or enhanced technologies or processes, or to react to changes in existing technologies, could adversely affect the adoption of lidar and sales of our current products or materially delay the development and introduction of new and enhanced products, which could result in the loss of competitiveness of our products, decreased revenue and a loss of market share to competitors.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pursuing opportunities in markets that involve novel applications that are rapidly evolving, and that include both technological and regulatory uncertainties, making it difficult to predict the size and timing of market opportunities. For example, autonomous driving and lidar-based ADAS applications require complex technology, stringent testing, and rigorous safety controls. Because these automotive systems are both themselves complex, and also depend on complex technologies from many suppliers, commercialization of autonomous driving or ADAS products could be delayed or impaired on account of technological capabilities that are not sufficiently advanced for deployment in vehicles. These standards may never be met at all. Additionally, ADAS has yet to, and may never, achieve widespread adoption, which would reduce demand for lidar in that market. Similar concerns are also applicable to our other three verticals.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currently have contracts with numerous commercial customers across diverse markets, these customers may not be able to utilize our technology in the foreseeable future, or at all. Regulatory, safety or reliability developments, many of which are outside of our control, could also cause delays or otherwise impair commercial adoption of these new technologies, which will adversely affect our growth. Our future financial performance will depend on our ability to make timely investments in the correct market opportunities in this environment.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customers are still in the testing and development phases of applications with our products and it cannot be certain that they will commercialize products or systems with our digital lidar sensors or at all. We believe adoption of lidar products, including our digital lidar sensors, will depend on numerous factors, including: whether the technological capabilities of lidar and lidar-based products meet users’ current and evolving needs; whether the benefits of designing lidar into larger sensing systems outweigh the costs, complexity and time needed to deploy such technology or replace or modify existing systems that may have used other modalities such as cameras and radars; whether users in other applications can move beyond the testing and development phases and proceed to commercializing systems supported by lidar technology and whether lidar developers can keep pace with rapid technological changes in certain developing markets. If lidar technology generally does not achieve commercial success or if the market adoption is slower than expected, our business, results of operation and financial condition will be materially and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experience difficulties in managing our growth and expanding our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experiencing significant growth in the scope and nature of our operations. Our ability to manage our operations and future growth will require us to continue to improve our operational, financial and management controls, compliance programs and reporting systems. We are currently in the process of strengthening our compliance programs, including our compliance programs related to product certifications, quality management systems certifications, environmental certifications, export controls, privacy and cybersecurity and anti-corruption. We may not be able to implement improvements in an efficient or timely manner and may discover deficiencies in existing controls, programs, systems and procedures, which could have an adverse effect on our business, reputation and financial results. Additionally, rapid growth in our business may place a strain on our human and capital resources. Furthermore, we expect to continue to conduct our business internationally and anticipate increased business operations in the United States, Europe, Asia and the Middle East. These diversified, global operations place increased demands on our limited resources and require us to substantially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expand the capabilities of our administrative and operational resources and to attract, train, manage and retain qualified management, technical, manufacturing, engineering, sales and other personnel. As our operations expand domestically and internationally, we will need to continue to manage multiple locations and additional relationships with various customers, partners, suppliers and other third parties across several markets.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focusing our current commercial efforts across four distinct target markets. We will be required to prioritize our limited financial and managerial resources as we pursue particular development and commercialization efforts in each target market. Any resources we expend on one or more of these efforts could be at the expense of other potentially profitable opportunities.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we are not able to effectively maintain or grow our global sales and marketing organization, or maintain or grow an effective network of distributors, resellers, and integrators, our business prospects, results of operations and financial condition could be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generate future sales growth, we will need to maintain or grow the size and geographic coverage of our field organization, including marketing, direct sales, customer support and technical services. Accordingly, our future success will depend largely on our ability to hire, train, retain, and motivate skilled regional sales managers and direct sales representatives with significant technical knowledge and understanding of our products. Because of the competition for their skillset, we may not be able to attract or retain such personnel on reasonable terms, if at all. If we are unable to maintain or grow our global sales and marketing organizations, we may not be able to increase our revenue, which would adversely affect our business,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rely on a network of independent distributors to help generate sales of our products internationally. If a dispute arises with a distributor or if we terminate our relationship with a distributor or a distributor goes out of business, it may take time to identify an alternative distributor, to train new personnel to market our products, and our ability to sell our products in a region formerly serviced by a terminated distributor could be harmed. In addition, our distributors may not successfully market and sell our products and may not devote sufficient time and resources that we believe are necessary to enable our products to develop, achieve or sustain market acceptance. Any of these factors could reduce our revenue or impair our revenue growth in affected markets, increase our costs in those markets or damage our reputation. In addition, if an independent distributor were to depart and be retained by one of our competitors, we may be unable to prevent that distributor from soliciting business from our existing customers, which could further adversely affect us. As a result of our reliance on third-party distributors, we may be subject to disruptions and increased costs due to factors beyond our control, including labor strikes, third-party errors and other issues. If the services of any of these third-party distributors become unsatisfactory, we may experience delays in meeting our customers’ demands and we may be unable to find a suitable replacement on a timely basis or on commercially reasonable terms. Any failure to deliver products in a timely manner may damage our reputation and could cause us to lose potential customers.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forecasts of market growth may not be accurate.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opportunity estimates and growth forecasts included in this Annual Report on Form 10-K and in our other public disclosures are subject to significant uncertainty and are based on assumptions and estimates that may not prove to be accurate. The forecasts and estimates relating to the expected size and growth of the markets for lidar-based technology may prove to be inaccurate. Even if these markets experience the forecasted growth, we may not grow our business at similar rates, or at all. Our future growth is subject to many factors, including market adoption of our products, which is subject to many risks and uncertainties. Accordingly, the forecasts and estimates of market size and growth described in this Annual Report on Form 10-K and in our other public disclosures, should not be taken as indicative of our future growth.</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sales and operations in international markets expose us to operational, financial and regulatory risks.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sales comprise a significant amount of our overall revenue and while growing our international sales is an important part of our growth strategy, these efforts may not be successful. International operations are subject to a number of other risks, including:</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import and export laws and the impact of tariffs;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exchange rate fluctuations;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political and economic instability, war, international terrorism and anti-American sentiment, particularly in emerging markets and the geographic regions affected by the Russia-Ukraine and Israel-Hamas wars;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potential for violations of anti-corruption laws and regulations, such as those related to bribery and fraud;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preference for locally branded products, and laws and business practices favoring local competition;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increased difficulty in managing inventory;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increased risk in collecting trade receivables;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delayed revenue recognition;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less effective protection and/or lack of enforceability of intellectual property;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stringent regulation of the autonomous or other systems or products using our products and stringent consumer protection and product compliance regulations, including but not limited to General Data Protection Regulation in the European Union, European competition law, the Restriction of Hazardous Substances Directive, the Waste Electrical and Electronic Equipment Directive and the European Ecodesign Directive that are costly to comply with and may vary from country to country;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difficulties and costs of staffing and managing foreign operations;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changes in local tax and customs duty laws or changes in the enforcement, application or interpretation of such laws; and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U.S. government’s restrictions on certain technology transfer to certain countries of concern.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any of these risks could negatively affect our international business and consequently our business, operating results, and financial condition.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the risk of cancellation or postponement of our contracts with customers or the unsuccessful implementation of our products, which may adversely affect our business, results of operations and financial condition.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experienced, and may experience in the future, unexpected cancellations of major purchases of our products, which has affected and may adversely affect our results of operations. Prospective customers across our target markets generally must make significant commitments of resources to test and validate our products and confirm that they can be integrated with other technologies before including them in any particular system, product or model. Our products must meet customer specifications for quality, reliability and performance. Integration of our products may reveal errors, defects or incompatibilities with other sensing modalities that, if we are unable to correct them, may result in loss of customers, loss of market share, damage to our brand and reputation, increased service and replacement costs, lack of profitability, and constitute a hindrance to market acceptance. Although our agreements may contain provisions that aim at limiting our liability for damages resulting from defects in our products, such limitations and disclaimers may not be enforceable or otherwise effectively protect us from such claims, and we may have to indemnify our customers against liabilities arising from defects in our products or in their solutions that incorporate our products. These liabilities may also include costs incurred by our channel partners or end users to correct problems or replace our products, which could adversely affect our operating results and business prospects. These inherent operational risks are all the more important that the development cycles of our products with new customers vary widely depending on the application, market, customer and the complexity of the product. In our four target markets, development cycles can be six months to seven or more years. These development cycles require us to invest significant resources prior to realizing any revenue from the commercialization. Our revenue growth may be impaired if the system, product or vehicle model that includes our digital lidar sensors is unsuccessful, including for reasons unrelated to our technology or software. Long development cycles and product cancellations or postponements may adversely affect our business, results of operations and financial condition.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we do not adequately manage our inventory, we could lose sales or incur higher inventory-related expenses, which could negatively affect our operating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ensure adequate inventory supply, we forecast inventory needs and expenses, place orders sufficiently in advance with our suppliers and manufacturing partners and manufacture products based on our estimates of future demand for particular products. Fluctuations in the adoption of lidar products may affect our ability to forecast our future operating results, including revenue, gross margins, cash flows and profitability. Our ability to accurately forecast demand for our products could be affected by many factors, including the rapidly changing nature of our current target markets, the uncertainty surrounding the market acceptance and commercialization of lidar technology, the emergence of new markets, an increase or decrease in customer demand for our products or for products and services of our competitors, product introductions by competitors, the COVID-19 pandemic, other epidemics and public health crises, and any associated work stoppages or interruptions, unanticipated changes in general market conditions and the weakening of economic conditions or consumer confidence in future economic conditions. We may face challenges acquiring adequate supplies to manufacture our products and we, Benchmark and Fabrinet may not be able to manufacture our sensors at a rate necessary to satisfy the levels of demand, which would negatively affect our short-term and long-term growth. This risk may be exacerbated by the fact that we may not carry or be able to obtain from our suppliers a significant amount of inventory to satisfy short-term demand increases. If we fail to accurately forecast customer demand, we may experience excess inventory levels or a shortage of products available for sale, which has forced us to record inventory write-downs in the past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levels in excess of customer demand have resulted and may in the future result in inventory write-downs or write-offs and the sale of excess inventory at discounted prices, which would adversely affect our financial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including our gross margin, and have a negative effect on our brand. Conversely, if we underestimate customer demand for our products, we may not be able to deliver products to meet our requirements, and this could result in damage to our brand and customer relationships and adversely affect our revenue and operating results.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are exposed to the risk of write-downs on the value of our inventory and other assets, in addition to purchase commitment cancellation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record a write-down for product and component inventories that have become obsolete or exceed anticipated demand, or for which cost exceeds net realizable value. We also accrue necessary cancellation fee reserves for orders of excess products and components. We review long-lived assets, including capital assets held at our suppliers’ facilities, for impairment whenever events or circumstances indicate the assets may not be recoverable. If we determine that an impairment has occurred, we record a write-down equal to the amount by which the carrying value of the asset exceeds its fair value. No assurance can be given that we will not incur write-downs, fees, impairments and other charges given the rapid and unpredictable pace of product obsolescence in the industries in which we compete.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order components for our products and build inventory in advance of product manufacturing and shipments. Manufacturing purchase obligations cover our forecasted component and manufacturing requirements, typically for periods up to three months. Because our target markets are volatile, competitive and subject to rapid technology and price changes, and because we have limited sales history, there is a risk we will forecast incorrectly and order or produce excess or insufficient amounts of components or products, or not fully utilize our firm purchase commitments.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business could be materially and adversely affected if our customers become unable to, or otherwise do not, pay their invoices.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one or more of our major customers is unable to pay our invoices as they become due or a customer simply refuses to make such payments if it experiences financial difficulties, our business would be adversely affected. If a major customer were to enter into bankruptcy proceedings or similar proceedings whereby contractual commitments are subject to stay of execution and the possibility of legal or other modification, we could be forced to record a substantial loss. Additionally, a number of our customers are startup companies, small and mid-sized businesses, that are privately funded, have limited resources, and do not have a history of creditworthiness that we can audit to determine reliability and increase the potential risk to record potential losses. These companies could fail to raise enough capital and have to shut down operations. Even if they are financially solvent and stable and we are successful in securing a commercial relationship with them, their business plans for future programs may be inherently uncertain and unpredictable, and less structured than established companies.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are exposed to credit risk on our trade accounts receivable, supplier non-trade receivables and prepayments related to long-term supply agreements, and this risk is heightened during periods when economic conditions worsen.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products directly to small and mid-sized businesses and educational customers. Our outstanding trade receivables are not covered by collateral, third-party bank support or financing arrangements, or credit insurance. Our exposure to credit and collectability risk on our trade receivables is higher in certain international markets and our ability to mitigate such risks may be limited. We also have unsecured supplier non-trade receivables resulting from purchases of components by outsourcing partners and other vendors that manufacture sub-assemblies or assemble final products for us. In addition, from time to time, we may make prepayments associated with long-term supply agreements to secure supply of inventory components. While we are implementing procedures to monitor and limit exposure to credit risk on our trade and supplier non-trade receivables, there can be no assurance such procedures will effectively limit our credit risk and avoid losses.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other tax attributes may be limited.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 is possible that we will not generate taxable income in time to use our net operating loss carryforwards and certain tax credits before their expiration (if we generate taxable income at all).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federal and state net operating loss carryforwards and certain tax credits may be subject to significant limitations under Section 382 and Section 383 of the Internal Revenue Code, respectively, and similar provisions of state law. Under those sections of the Internal Revenue Code, if a corporation undergoes an “ownership change,” the corporation’s ability to use its pre-change net operating loss carryforwards and other pre-change tax attributes, such as research tax credits, to offset its post-change income or taxes may be limited. In general, an “ownership change” will occur if there is a cumulative change in our ownership by certain significant shareholders that exceeds 50 percentage points over a rolling three-year period. Similar rules may apply under state tax laws. We have completed an analysis of Section 382 ownership changes in our stock through February 10, 2023 and have concluded that we have experienced ownership changes that will result in limitations in our ability to use an immaterial amount of tax credit carryforwards. We may experience ownership changes in the future as a result of future transactions in our stock. If it is determined that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undergo one or more ownership changes in the future, then our ability to utilize our federal and state net operating loss carryforwards or other tax attributes may be limited or eliminated.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Key components in our products come from limited or single source third-party suppliers, and we expect to rely on third parties to manufacture a significant portion of our products for the foreseeable future. Interruptions in our relationships with these third parties could adversely impact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rely on third-party manufacturers, including Benchmark and Fabrinet, to supply our products. These arrangements are intended to lower our operating costs, but they also reduce our direct control over production and distribution. This diminished control may have an adverse effect on the quality or quantity of products or services, or our flexibility to respond to changing conditions. If Benchmark or any of our third-party component suppliers or logistics and transportation partners experience interruptions, delays or disruptions in supplying their products or services, including by natural disasters, trade restrictions, the global COVID-19 pandemic, other epidemics and public health crises, or work stoppages or capacity constraints, our ability to ship products to distributors and customers may be delayed. In addition, unfavorable economic conditions could result in financial distress among third-party suppliers or manufacturers upon which we rely, thereby increasing the risk of disruption of supplies necessary to fulfill our production requirements and meet customer demands. Additionally, if any of these third parties on whom we rely were to experience quality control problems in their operations and our products do not meet customer or regulatory requirements, we could be required to cover the cost of repair or replacement of any defective products. These delays or product quality issues could have an immediate and material adverse effect on our ability to fulfill orders and could have a negative effect on our operating results. In addition, such delays or issues with product quality could adversely affect our reputation and our relationship with our customers, distributors, value added software resellers, and integrators.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these third parties experience financial, operational, manufacturing capacity or other difficulties, or experience shortages in required components, or if they are otherwise unable or unwilling to continue to manufacture our products in required volumes or at all, our supply may be disrupted, we may be required to seek alternate manufacturers and we may be required to re-design our products. It would be time-consuming, and could be costly and impracticable, to begin to use new manufacturers, components or designs, and such changes could cause significant interruptions in supply and could have an adverse effect on our ability to meet our scheduled product deliveries and may subsequently lead to the loss of sales. While we take measures to protect our trade secrets, the use of third-party suppliers and manufacturers may also risk disclosure of our innovative and proprietary manufacturing methodologies, which could adversely affect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there are a limited number of competent, high-quality suppliers in the industry that meet our strict quality and control standards, and as we seek to obtain additional or alternative supplier arrangements in the future, there can be no assurance that we would be able to do so on satisfactory terms, in a timely manner, or at all. Our suppliers could also discontinue or modify components used in our products. In some cases, the lead times associated with certain components are lengthy and preclude rapid changes in quantities and delivery schedules. We may in the future experience component shortages and price fluctuations of certain key components and materials, and the predictability of the availability and pricing of these components may be limited. Component shortages or pricing fluctuations could be material in the future. In the event of a component shortage, supply interruption or material pricing change from suppliers of these components, we may not be able to develop alternate sources in a timely manner or at all in the case of sole or limited sources. Developing alternate sources of supply for these components may be time-consuming, difficult, and costly and we may not be able to source these components on terms that are acceptable to us, or at all, which may undermine our ability to meet our requirements or to fill customer orders in a timely manner. Any interruption or delay in the supply of any of these parts or components, or the inability to obtain these parts or components from alternate sources at acceptable prices and within a reasonable amount of time, would adversely affect our ability to meet our scheduled product deliveries to our customers. This could adversely affect our relationships with customers and distributors and could cause delays in shipment of our products and adversely affect our operating results. In addition, increased component costs could result in lower gross margins. Even where we are able to pass increased component costs along to our customers, there may be a lapse of time before it is possible to do so, such that we must absorb the increased cost. If we are unable to buy these components in quantities sufficient to meet our requirements on a timely basis, we will not be able to deliver our products to our customers, and cause our customers to use competitors’ products instead of ours.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Should operations at our third-party suppliers, including Benchmark and Fabrinet, encounter disruptions or losses that may be caused by work stoppages, disease outbreaks or pandemics, acts of war, terrorism, fire, earthquakes, flooding or other natural disasters, it could result in delays, postponement or reduce production of our products, which could have a material adverse effect on our business, results of operations and financial condition until such time as such production disruption is resolved or an alternate source of production or supply is secured.</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Outsourcing a substantial percentage of our manufacturing outside of the United States involves certain risks or may not be successful, which could harm our ability to deliver products and recognize revenue.</w:t>
      </w:r>
    </w:p>
    <w:p>
      <w:pPr>
        <w:pStyle w:val="TextBody"/>
        <w:bidi w:val="0"/>
        <w:spacing w:lineRule="auto" w:line="288" w:before="120" w:after="283"/>
        <w:jc w:val="left"/>
        <w:rPr/>
      </w:pPr>
      <w:r>
        <w:rPr>
          <w:rFonts w:ascii="Times New Roman;sans-serif" w:hAnsi="Times New Roman;sans-serif"/>
          <w:b w:val="false"/>
          <w:color w:val="000000"/>
          <w:sz w:val="20"/>
        </w:rPr>
        <w:t>Historically, we manufactured all of our digital sensors at our facility in San Francisco, California. We intend to maintain a portion of our manufacturing at this facility;</w:t>
      </w:r>
      <w:r>
        <w:rPr>
          <w:color w:val="000000"/>
          <w:shd w:fill="FFFFFF" w:val="clear"/>
        </w:rPr>
        <w:t xml:space="preserve"> </w:t>
      </w:r>
      <w:r>
        <w:rPr>
          <w:rFonts w:ascii="Times New Roman;sans-serif" w:hAnsi="Times New Roman;sans-serif"/>
          <w:b w:val="false"/>
          <w:color w:val="000000"/>
          <w:sz w:val="20"/>
          <w:shd w:fill="FFFFFF" w:val="clear"/>
        </w:rPr>
        <w:t xml:space="preserve">however, in 2019, </w:t>
      </w:r>
      <w:r>
        <w:rPr>
          <w:rFonts w:ascii="Times New Roman;sans-serif" w:hAnsi="Times New Roman;sans-serif"/>
          <w:b w:val="false"/>
          <w:color w:val="000000"/>
          <w:sz w:val="20"/>
        </w:rPr>
        <w:t>we began moving a portion of our manufacturing operations to a manufacturing facility in Thailand in connection with our relationship with Benchmark, which for the year ended December 31, 2023, accounted for the majority of our OS sensor manufacturing output. In 2023, after the merger with Velodyne, we began moving manufacturing operations of Velodyne sensors to a Fabrinet facility in Thailand. Any substantial delay in bringing this facility up to full production on our current schedule may hinder our ability to produce all of the products needed to meet orders and/or achieve our expected financial performance. Opening this facility has required, and will continue to require, additional capital expenditures and the efforts and attention of our management and other personnel, which has and will continue to divert resources from our existing business or operations. If and when this manufacturing facility is brought up to full production according to our current schedule, it may not provide us with all of the operational and financial benefits we expect to receive.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invested in manufacturing process equipment which is held at these Thailand facilities, and we may make prepayments to some of our suppliers associated with long-term supply agreements. While these arrangements help ensure the supply of components and finished goods, if our co-manufacturer or suppliers experience severe financial problems or other disruptions in their business, such continued supply would be reduced or terminated, and the recoverability of manufacturing process equipment or prepayments would be negatively impacted.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manufacturing outside the United States is subject to several inherent risks, including:</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foreign currency fluctuations;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local economic conditions;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political instability;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import or export requirements;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foreign government regulatory requirements;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reduced protection for intellectual property rights in some countries;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tariffs and other trade barriers and restrictions; and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potentially adverse tax consequences.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do not currently have long-term, committed supply contracts with many of our suppliers. Loss of one or more of these suppliers or our inability to identify and establish relationships with new suppliers could harm our business and impede our growth.</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we do not maintain long-term supply contracts, any of our suppliers could seek to alter or terminate its relationship with us at any time, leaving us with periods during which we have limited or no ability to manufacture our products. The production of our products is dependent on producing or sourcing certain key components, including semiconductor chips, and raw materials at acceptable price levels. If we are unable to adequately reduce and control the costs of such key components, we will be unable to realize manufacturing costs targets, which could reduce the market adoption of our products, damage our reputation with current or prospective customers, and materially and adversely impact our brand, business, prospects, financial condition and operating results.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Adverse conditions in the industries we target or the global economy more generally could have adverse effects on our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While we make our strategic planning decisions based on the assumption that the markets we are targeting will grow, our business is dependent, in large part on, and directly affected by, business cycles and other factors affecting the robotics, industrial automation, smart infrastructure, and transportation industries and global economy generally. Our target markets are highly cyclical and depend on general economic conditions and other factors, including consumer spending and preferences, changes in interest rates and credit availability, consumer confidence, inflation, environmental impact, governmental incentives and regulatory requirements, political volatility, labor relations issues, trade agreements and other factors.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general inflation in the United States, Europe and other geographies has risen to levels not experienced in recent decades. General inflation, including rising prices for inputs and rising wages, as well as rising interest rates negatively impact our business by increasing our operating costs. General inflation also negatively impacts our business by decreasing the capital for our customers to deploy to purchase our products. Inflation may cause our customers to reduce or delay orders for our products thereby causing a decrease in sales. Increased instability relating to this higher inflation as well as rising interest rates may enhance volatility in currency exchange rates, limit our suppliers’ and customers’ access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and limit our ability to access debt and equity financing. These uncertainties may make it difficult for us and our suppliers and customers to accurately plan future business activities and materially adversely impact our operating results and financial condition.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future success depends in part on recruiting and retaining key personnel and if we fail to do so, it may be more difficult for us to execute our business strategy. We are currently a small organization and may need to hire additional qualified personnel to effectively implement our strategic plan.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on our ability to attract, retain and motivate highly qualified management, technical, manufacturing, engineering and sales personnel. In particular, our success may depend on our ability to recruit and retain management personnel who are qualified to manage a public company. We are highly dependent on our senior management, including our founders, Angus Pacala and Mark Frichtl. If any of such persons left, our business could be harmed. All of our U.S. based employees are “at-will” employees. The loss of the services of one or more of our key employees could delay or have an impact on the successful commercialization of our products. We do not maintain key man insurance.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successfully execute on our strategic plan depends in part on our ability to continue to appropriately build our organization and hire qualified personnel, especially with engineering, sales, technical, and manufacturing expertise. Competition for qualified personnel is especially severe in the San Francisco Bay Area. We may not be able to attract and retain qualified personnel on acceptable terms given the competition for such personnel. If we are unsuccessful in our recruitment and retention efforts, it may adversely affect our business and our growth prospects.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connection with the closing of the Velodyne Merger, in February 2023, we implemented a reduction in force to reduce redundancies with the acquired business. While positions have been eliminated, certain functions necessary to our operations remain, and we have distributed the duties and obligations of departed employees among our remaining employees. The reduction in workforce could make it difficult for us to pursue, or prevent us from pursuing, new opportunities and initiatives due to insufficient personnel, or require us to incur additional and unanticipated costs to hire new personnel to pursue such opportunities or initiatives. If we are unable to realize the anticipated benefits from the reduction in force, or if we experience significant adverse consequences from the reduction in force, our business, financial condition, and results of operations may be materially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Some of our employees are employed by professional employer organizations which may have unexpected costs that could adversely impact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contract with non-US professional employer organizations (“PEOs”), to administer our human resources, payroll and employee benefits functions for some of our subsidiaries’ employees outside of the United States. Although we recruit and select these employees, their employment relationship is with the relevant PEO. Accordingly, these employees are compensated through the PEO, are governed by the work policies created by the PEO and receive their annual wage statements and other payroll-related reports from the PEO. In addition, some of these employees may receive stock compensation directly from the Company. The PEO relationship streamlines hiring and employee maintenance, and enables management to focus on issues other than payroll administration, but this relationship also exposes us to some risks. For example, if the PEO is unable to or otherwise fails to adequately withhold or pay employer taxes or to comply with other applicable laws, we may be held liable for such violations notwithstanding any indemnification provisions provided to us by the PEOs. In certain non-US jurisdictions, despite the PEO relationship, there is a risk that the employee may nonetheless be deemed our direct employee and that the Company may be deemed to have a permanent operation in a non-US jurisdiction. Court and administrative proceedings related to matters of employment tax, labor law and other laws applicable to PEO arrangements could distract management from our business and cause us to incur significant expense. If we were held liable for violations by PEOs, such monetary penalties may adversely affect our profitability and could negatively affect our business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be unable to successfully integrate our business with Velodyne or realize the expected benefits of the Velodyne Merger on our expected timeframe or at all. In addition, if we choose to acquire or invest in other new businesses, products or technologies, we may be unable to complete these acquisitions or to successfully integrate them in a cost-effective and/or non-disruptive manner.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on our ability to enhance and broaden our product offerings in response to changing customer demands, competitive pressures and advances in technologies. Failure to successfully identify, complete, manage and integrate acquisitions could materially and adversely affect our business, financial condition and results of operations and could cause our stock price to decline. We continue to search for viable acquisition candidates or strategic transactions that would expand our market sector and/or global presence, as well as additional products appropriate for current distribution channels. Accordingly, we have previously and may in the future pursue the acquisition of new businesses, products or technologies instead of developing them internally. Our future success will depend, in part, upon our ability to manage the expanded business following these acquisitions, including challenges related to the management and monitoring of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operations and associated increased costs and complexity associated with such acquisitions. For example, in February 2023, we completed the Velodyne Merger to help us enhance our robust suite of product offerings and software; grow our diverse customer base; increase operational efficiencies; further develop our innovative product roadmap in anticipation for the future needs of the market; reduce our production costs; improve our path to profitability; and strengthen our future financial position. In connection with any acquisitions, we could issue additional equity securities, which would dilute our stockholders, incur substantial debt to fund the acquisitions or assume significant liabilities. </w:t>
      </w:r>
    </w:p>
    <w:p>
      <w:pPr>
        <w:pStyle w:val="TextBody"/>
        <w:bidi w:val="0"/>
        <w:spacing w:lineRule="auto" w:line="288" w:before="120" w:after="283"/>
        <w:jc w:val="left"/>
        <w:rPr/>
      </w:pPr>
      <w:r>
        <w:rPr>
          <w:rFonts w:ascii="Times New Roman;sans-serif" w:hAnsi="Times New Roman;sans-serif"/>
          <w:b w:val="false"/>
          <w:color w:val="000000"/>
          <w:sz w:val="20"/>
        </w:rPr>
        <w:t>Acquisitions involve many and diverse risks and uncertainties, including risks associated with conduction due diligence, problems integrating the purchased operations, assets, technologies or products, unanticipated costs, liabilities, and economic, political, legal and regulatory challenges due to our inexperience operating in new regions or countries, inability to achieve anticipated synergies, overpaying for acquisitions, invalid sales assumptions underlying potential acquisitions, issues maintaining uniform standards, procedures, controls and policies, diversion of management attention, adverse effects on existing business relationships or acquired company business relationships, risks associated with entering new markets, potential loss of key employees of acquired businesses, increased legal, accounting and compliance costs,</w:t>
      </w:r>
      <w:r>
        <w:rPr>
          <w:color w:val="000000"/>
        </w:rPr>
        <w:t xml:space="preserve"> </w:t>
      </w:r>
      <w:r>
        <w:rPr>
          <w:rFonts w:ascii="Times New Roman;sans-serif" w:hAnsi="Times New Roman;sans-serif"/>
          <w:b w:val="false"/>
          <w:color w:val="000000"/>
          <w:sz w:val="20"/>
        </w:rPr>
        <w:t>and failure to successfully integrate acquired companies, such as Sense or Velodyne, or retain key personnel from the acquired company. Acquisitions may divert our attention from our core business. Acquisitions may require us to record goodwill and non-amortizable intangible assets that will be subject to testing on a regular basis and potential period impairment charges, incur amortization expenses related to certain intangible assets, and incur write offs and restructuring and other related expenses, any of which could harm our operating results and financial condition.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compete with other companies for these opportunities, and we may be unable to consummate such acquisitions or other strategic transactions on commercially reasonable terms, or at all. In addition, acquired businesses may have ongoing or potential liabilities, legal claims (including tort and/or personal injury claims) or adverse operating issues that we fail to discover through due diligence prior to the acquisition. Even if we are aware of such liabilities, claims or issues, we may not be able to accurately estimate the magnitude of the related liabilities and damages. In particular, to the extent that prior owners of any acquired businesses or properties failed to comply with or otherwise violated applicable laws or regulations, failed to fulfill their contractual obligations to their customers, or failed to satisfy legal obligations to employees or third parties, we, as the successor, may be financially responsible for these violations and failures and may suffer reputational harm or otherwise be adversely affected. Acquisitions also frequently result in the recording of goodwill and other intangible assets which are subject to potential impairment in the future that could harm our financial results. If we were to issue additional equity in connection with such acquisitions, this may dilute our stockholders.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Legal and Regulatory Risks Related to Our Business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products are frequently used in applications that are subject to evolving regulations and standards.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may use our products for regulated and standardized applications that require our products to comply with regulations and standards that are applicable to both our products and to those industries and applications, including functional safety and product reliability standards. New regulations and industry standards may be adopted that result in delays or cancellations of programs. If we decide not to pursue or fail to achieve these regulatory or industry certifications, we may lose existing or potential commercial opportunities or be exposed to legal liability from regulators.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governmental export and import controls and economic sanctions laws and regulations. Our failure to comply with these laws and regulations could have an adverse effect on our business, prospects,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and solutions are subject to certain U.S. and foreign export controls, trade sanctions, and import laws and regulations, including the U.S. Export Administration Regulations, U.S. Customs regulations and various economic and trade sanctions regulations administered by the U.S. Treasury Department’s Office of Foreign Assets Controls. U.S. export control laws and regulations and economic sanctions prohibit the shipment of certain products and services to countries, governments, and persons targeted by U.S. sanctions. Even though we take precautions to prevent our productions and solutions from being provided to entities subject to these restrictions, our products could find their way to such prohibited entities. Any such provision could have negative consequences, including government investigations, penalties, or reputational harm.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complying with export control and sanctions regulations for a particular sale may be time-consuming and create delays in the introduction of our products and solutions in some international markets, and, in some cases, prevent the export of our software and services to some countries altogether. Exports of our products and technology must be made in compliance with these laws and regulations. If a license is required from a government agency prior to sale, no exports may occur until the appropriate approvals are obtained. If we fail to comply with these laws and regulations, penalties could be imposed, including substantial monetary fines and/or denial of export privileges. In addition, in extreme cases responsible employees or managers can be held criminally liable for such violations.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Changes to trade policy, tariffs and import/export regulations may have a material adverse effect on our business,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new export or import restrictions, new legislation or shifting approaches in the enforcement or scope of existing regulations, or changes in global, political, regulatory and economic conditions affecting U.S. trade, manufacturing, development or investment, could result in additional restrictions on our ability to conduct business. In recent years, the U.S. has instituted or proposed changes in trade policies that include the negotiation or termination of trade agreements, the imposition of higher tariffs on imports into the U.S., economic sanctions on individuals, corporations or countries, and other government regulations affecting trade between the U.S. and other countries where we conduct our business. A number of other nations have proposed or instituted similar measures directed at trade with the United States in response. As a result of these developments, there may be greater restrictions and economic disincentives on international trade that could adversely affect our business. As additional trade-related policies are instituted, we may need to modify our business operations to comply and adapt to such developments, which may be time-consuming and expensive.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Moreover, China and the U.S. have each imposed tariffs, indicating the potential for further trade barriers which may escalate a nascent trade war between China and the U.S. The resulting environment of retaliatory trade or other practices or additional trade restrictions or barriers, if implemented on a broader range of products or raw materials, could harm our ability to obtain necessary materials. For example, tariffs on certain Chinese origin goods impact the cost of material and machines we import directly from our manufacturing operations in China, as well as the cost of material and components imported on our behalf by suppliers. The indirect impact of inflationary pressure on costs throughout the supply chain and the direct impact, for example, on costs for machines we import from our manufacturing operations in China, may result in higher input costs and lower margins on certain products we sell, which could have a material adverse effect on our business, prospects, results of operations and cash flows.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have been and may in the future become involved in legal and regulatory proceedings and commercial or contractual disputes, which could have a material adverse effect on our profitability and consolidated financial position.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and may in the future be, from time to time, involved in litigation, regulatory proceedings and commercial or contractual disputes and these matters may be significant. These matters may include, without limitation, disputes with our distributors, suppliers and customers, intellectual property claims, stockholder litigation, government investigations, class action lawsuits, personal injury claims, environmental issues, customs and value-added tax disputes and employment and tax issues. In addition, we have in the past and could face in the future a variety of labor and employment claims against us, which could include but is not limited to general discrimination, wage and hour, privacy, ERISA or disability claims. In such matters, government agencies or private parties may seek to recover from us large, indeterminate amounts in penalties or monetary damages (including, in some cases, treble or punitive damages) or seek to limit our operations in some way. These types of lawsuits could require significant management time and attention or could involve substantial legal liability, adverse regulatory outcomes, or substantial expenses to defend. Often these cases raise complex factual and legal issues and create risks and uncertainties.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descriptions of legal proceedings to which we are party, including proceedings assumed in connection with the Velodyne Merger, see Note 9. Commitments and Contingencies included in the notes to our audited consolidated financial statements included elsewhere in this Annual Report on Form 10-K.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in the past and could in the future be forced to expend significant resources in the defense of these lawsuits or future ones, and we may not prevail. No assurances can be given that any proceedings and claims will not have a material adverse impact on our operating results and consolidated financial position or that our available insurance will mitigate this impact.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and must remain in compliance with, numerous laws and governmental regulations concerning the manufacturing, use, distribution and sale of our products. Some of our customers also require that we comply with their own unique requirements relating to these matters.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manufacture and sell products that contain components, which may contain materials that are subject to government regulation in both the locations where we manufacture and assemble our products, as well as the locations where we sell our products. Since we operate on a global basis, this is a complex process which requires continual monitoring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regulations and an ongoing compliance process to ensure that we and our suppliers are in compliance with existing regulations in each market where we operate. If there is an unanticipated new regulation that significantly impacts our use and sourcing of various components or requires more expensive components, that regulation could materially adversely affect our business, results of operations and financial condition. If we are not currently in compliance with existing regulations, or we fail to adhere to new regulations or fail to continually monitor the updates, we may incur costs in remedying our non-compliance and it may disrupt our operations. In addition, current or proposed regulations may adversely impact the availability of supplies needed to manufacture our products. For example, the Uyghur Forced Labor Prevention Act effectively bans all products from China’s Xinjiang province due to concerns that the goods were produced with forced labor, which, is having adverse impacts on global supply chains. In such circumstances, we may also be subject to litigation, lose customers, suffer negative publicity and our business, results of operations, and financial condition could be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and our vendors are subject to various environmental laws and regulations that could impose substantial costs upon us and cause delays in expanding production facilities.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pollution and climate change have been the subject of significant legislative and regulatory efforts on a global basis, and we believe this will continue both in scope and in the number of countries participating. In addition, as climate change issues become more prevalent, foreign, federal, state and local governments and our customers have increased their focus on environmental sustainability, which has resulted in, and may result in new, regulations and customer requirements, which could materially adversely impact our business, results of operations and financial condition. If we are unable to effectively address concerns about environmental impact, our reputation could be negatively impacted, and our business, results of operations or financial condition could suffer. These regulations and requirements apply to our vendors and suppliers, as well. To the extent compliance with, or the effect of, these regulations and requirements on them result in their inability to deliver their products to us on time or at all, this could materially adversely impact our business, results of operations and financial condition. For example, the SEC recently adopted rules that will require companies to provide certain climate-related disclosures. While we are still assessing the scope and impact of this rule given how recently it was adopted, we anticipate that this rule, as well as other ESG and sustainability-related regulation and legislation, may require us to incur significant additional costs to comply, including the implementation of significant additional internal controls and impose increased oversight obligations on our management and board of directors.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new or modified environmental regulations or laws may increase the cost of raw materials or components we use in our products. Environmental regulations require us to continually reduce product energy usage, monitor and exclude an expanding list of restricted substances and to participate in required recovery and recycling of our products. Environmental and health and safety laws and regulations can be complex, and we have limited experience complying with them. Capital and operating expenses needed to comply with environmental laws and regulations can be significant, and violations may result in substantial fines and penalties, third-party damages, suspension of production or a cessation of our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contamination is found at properties we operate or formerly operated, this may result in liability for us under environmental laws and regulations, including the Comprehensive Environmental Response, Compensation and Liability Act, which can impose liability for the full amount of remediation-related costs without regard to fault. Costs of complying with environmental laws and regulations and any claims concerning noncompliance, or liability with respect to contamination in the future, could have a material adverse effect on our financial condition or operating results.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Failure to meet evolving environmental, social, and governance (“ESG”) expectations or standards or to achieve our ESG goals could adversely affect our business, results of operations, financial condition, and stock price.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experience pressure to make commitments or set goals or targets relating to ESG matters that affect companies in our industry, including the design and implementation of specific risk mitigation strategic initiatives relating to environmental sustainability. If we are not effective in addressing ESG matters affecting our industry, such as greenhouse gas emissions and climate-related risks, renewable energy, water stewardship, waste management, diversity, equality and inclusion, responsible sourcing and supply chain, human rights, and social responsibility, among other issues, or setting and meeting relevant sustainability commitments, goals, or targets, our reputation may suffer. As we continue to develop our voluntary ESG program and disclosures, there can be no assurance that regulators, customers, investors, and employees will determine that these programs and disclosures are sufficiently robust. In addition, there can be no assurance that we will be able to attain any announced goals related to our sustainability program, as statements regarding our sustainability goals reflect our current plans and aspirations and are not guarantees that we will be able to achieve them within the timelines we announce or at all. Changing stakeholder expectations, evolving voluntary and regulatory disclosure standards, and our efforts to manage and report on ESG issues present operational, regulatory, reputational, financial, legal, and other risks, any of which could have a material adverse impact on our business, including on our reputation and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U.S. and foreign anti-corruption and anti-money laundering laws. We can face criminal liability and other serious consequences for violations, which can harm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U.S. Foreign Corrupt Practices Act, the U.S. domestic bribery statute contained in 18 U.S.C. § 201, the U.S. Travel Act, the Money Laundering Control Act 18 U.S.C. §§ 1956 and 1957, and other anti-bribery and anti-money laundering laws in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and failing to prevent bribery, and require that we keep accurate books and records and maintain internal accounting controls designed to prevent any such actions.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we increase our international cross-border business and expand our operations abroad, we may continue to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We cannot assure you that all of our employees and agents will not take actions in violation of our policies and applicable law, for which we may be ultimately held responsible. As we increase our international business, our risks under these laws may increase.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Detecting, investigating and resolving actual or alleged violations of anti-corruption laws can require a significant diversion of time, resources and attention from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business may be adversely affected if it fails to comply with the regulatory requirements under the Federal Food, Drug, and Cosmetic Act or the Food and Drug Administration (the “FDA”).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lidar technology company, we are subject to the Electronic Product Radiation Control Provisions of the Federal Food, Drug, and Cosmetic Act. These requirements are enforced by the FDA. Electronic product radiation includes laser technology. Regulations governing these products are intended to protect the public from hazardous or unnecessary exposure. Manufacturers are required to certify in product labeling and in reports to the FDA that their products comply with applicable performance standards as well as maintain manufacturing, testing, and distribution records for their products. Failure to comply with these requirements could result in enforcement action by the FDA, which could require us to cease distribution of our products, recall or remediate products already distributed to customers, or subject us to FDA enforcement.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Failures, or perceived failures, to comply with privacy, data protection, and information security requirements in the variety of jurisdictions in which we operate may adversely impact our business, and such legal requirements are evolving, uncertain and may require improvements in, or changes to, our policies and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receive, store, handle, transmit, use, and otherwise process business information and information related to individuals, including from and about actual and prospective customers, employees, business contacts, service providers, and others. We also depend on a number of third-party vendors in relation to the operation of our business, a number of which process data on our behalf. Our current and potential future operations and sales subject us to laws and regulations addressing privacy and the collection, use, storage, disclosure, transfer, processing, and protection of a variety of types of data. For example, we are subject to General Data Protection Regulation (“GDPR”), the Swiss Federal Act on Data Protection (“FADP”), and the California Consumer Privacy Act (“CCPA”), each of which provide for potentially material penalties for non-compliance. These regimes, among other things, impose data security requirements, disclosure requirements, and restrictions on data collection, uses, and sharing that may impact our operations and the development of our business. The full impact of these privacy regimes, and other privacy, data protection, and information security laws we may be subject to, on our business is rapidly evolving across jurisdictions and remains uncertain at this time.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these data security regimes are evolving, uncertain, and complex, especially for a global business like ours, we may need to update or enhance our compliance measures as our products, markets and customer demands further develop,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updates or enhancements may require implementation costs. In addition, we may not be able to monitor and react to all legal developments in a timely manner. Any compliance measures we do adopt may prove ineffective. Any failure, or perceived failure, by us to comply with current and future regulatory or customer-driven privacy, data protection, and information security requirements, or to prevent or mitigate security breaches, cyber-attacks, or improper access to, use of, or disclosure of data, or any security issues or cyber-attacks affecting us, could result in significant liability, costs (including the costs of mitigation and recovery), and a material loss of revenue resulting from the adverse impact on our reputation and brand, loss of proprietary information and data, disruption to our business and relationships, and diminished ability to retain or attract customers and business partners. Such events may result in governmental enforcement actions and prosecutions, private litigation, fines and penalties or adverse publicity, and could cause customers and business partners to lose trust in us, which could have a material adverse effect on our reputation, result of operations, financial condition, and business.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adequately protect or enforce our intellectual property rights or prevent competitors or other unauthorized parties from copying or reverse engineering our technology.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ability to obtain patents and other intellectual property rights covering our technology and products, and to maintain adequate legal protection for our technology and products in the United States and worldwide. We rely on patent, trademark, copyright, and trade secret laws, as well as confidentiality procedures and contractual restrictions, to establish and protect our proprietary rights, all of which provide only limited protections.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can make no assurances whether any of our pending patent applications will mature into issued patents, or that any of our pending trademark applications will be registered, in a manner that gives us any or adequate defensive protection or competitive advantages. We also do not know whether any patents issued to us or any trademarks registered by us will not be challenged, invalidated or circumvented. Our portfolio of currently-issued patents and registered trademarks, and any patents that may be issued, any copyrights and trademarks that may be registered in the future, may not provide sufficiently broad protections to us, or may not prove to be enforceable in actions against alleged infringers. We cannot be certain that the actions we have undertaken to protect our technology and products will prevent unauthorized use of our technology or the reverse engineering of our products. Moreover, others may independently develop technologies and products that compete with ours, or infringe our intellectual property.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filed for patents and trademarks in the United States and in certain international jurisdictions, but such protections may not be available, and we may not have applied for protections in all countries in which we operate or sell our products. Though we may have obtained intellectual property and related proprietary rights in various jurisdictions, it may prove difficult to enforce our intellectual property rights in practice. Discovering and protecting against unauthorized use of our intellectual property, products and other proprietary rights is expensive and difficult, particularly internationally. We believe that our patents are foundational in the area of lidar products, and intend to enforce our intellectual property rights. Competitors and other unauthorized parties may attempt to copy or reverse engineer our lidar technology and other aspects of our solutions that we consider proprietary. Litigation may be necessary in the future to enforce or defend our intellectual property rights, to prevent unauthorized parties from copying or reverse engineering our products, to determine the validity and scope of the proprietary rights of others or to block the importation of infringing products into the United States or other markets. Failure to adequately protect our intellectual property rights could result in our competitors offering infringing products, potentially resulting in the loss of some of our competitive advantage, market share and a decrease in our revenue, which would adversely affect our business, operating results, financial condition and prospects.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Claims that we are infringing third-party intellectual property, whether successful or not, could subject us to costly and time-consuming litigation or expensive licenses, and adversely affect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intellectual property and related contractual litigation, if it is initiated in the future by us or a third-party, would result in substantial costs and diversion of management resources, either of which could materially and adversely affect our business, operating results and financial condition. Such claims may also divert management resources and attention away from other business efforts and force us to acquire intellectual property rights and licenses, which may involve substantial royalty or other payments that may not be acceptable to us. Further, a party making such a claim against us, if successful, could secure a judgment that requires us to pay substantial damages or such a party could obtain an injunction. An adverse determination also could invalidate our intellectual property rights and adversely affect our ability to offer our products to our customers and may require that we procure or develop substitute products that do not infringe, which could require significant effort and expense. Even if we obtain favorable outcomes in any such litigation, we may not be able to obtain adequate remedies, or may have incurred costs that threaten our financial stability. Assertions of our attempts to enforce our rights against third parties could also lead these third parties to assert their own intellectual property or other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against us or seek invalidation or a narrowed scope of our rights, in whole or in part. Any of these events could adversely affect our business, operating results, financial condition and prospects.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Lidar is a heavily populated intellectual property field, in which many companies, both within and outside of the lidar industry, hold patents covering lidar products and other adjacent technologies. In addition to patents, companies in the lidar industry typically rely on copyrights and trade secrets to protect their technology. As a result, there has been frequent litigation in the lidar industry based on allegations of patent infringement, misappropriation or other violations of intellectual property rights. We have, and in the future may, receive inquiries from other intellectual property holders and we may become subject to claims that we infringe others’ intellectual property rights, particularly as our market presence increases, as our products expand to new use cases and geographies, and as we face increasing competition. In addition, parties may claim that our name and the branding of our products infringe their trademark rights in certain countries or territories. If such a claim were to prevail, we may have to change the names of and branding of our products in the affected territories which would be costly and could cause market confusion.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have various agreements in effect pursuant to which we have agreed to defend, indemnify and hold harmless our customers, suppliers, and other partners from damages and costs which may arise from the infringement by our products of third-party patents or other intellectual property rights. The scope of these indemnity obligations vary, but may, in some instances, include indemnification for damages and expenses, including attorneys’ fees. Our insurance does not typically cover intellectual property infringement claims. A claim that our products infringe a third-party’s intellectual property rights, even if untrue, could adversely affect our relationships with our customers and deter future customers from purchasing our products. Our defense of intellectual property rights claims brought against us, or our customers, suppliers or partners, with or without merit, could be time-consuming and expensive to litigate or settle.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Even if we are not a party to any litigation between a customer and a third-party relating to infringement of its products, an adverse outcome in any such litigation could make it more difficult for us to defend our products against intellectual property infringement claims in any subsequent litigation matter in which we are a named party. Any of these results could adversely affect our brand and operating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intellectual property and related contractual litigation, if it is initiated in the future by us or a third-party, would result in substantial costs and diversion of management resources, either of which could adversely affect our business, operating results and financial condition. Such claims may also divert management resources and attention away from other business efforts and force us to acquire intellectual property rights and licenses, which may involve substantial royalty or other payments that may not be acceptable to us. Further, a party making such a claim against us, if successful, could secure a judgment that requires us to pay substantial damages or such a party could obtain an injunction. An adverse determination also could invalidate our intellectual property rights and adversely affect our ability to offer our products to our customers and may require that we procure or develop substitute products that do not infringe, which could require significant effort and expense. Even if we obtain favorable outcomes in any such litigation, we may not be able to obtain adequate remedies, or may have incurred costs that threaten our financial stability. Assertions of our rights against third parties could also lead third parties to assert their own intellectual property or other rights against us or seek invalidation or a narrowed scope of our rights, in whole or in part. Any of these events could adversely affect our business, operating results, financial condition and prospects.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intellectual property applications may not issue or be registered, which may have a material adverse effect on our ability to prevent others from commercially exploiting products similar to ours.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certain that we are the first inventor of the subject matter to which we have filed any particular patent application, or if we are the first party to file such a patent application. If another party has filed a patent application to, or otherwise publicly disclosed, subject matter that we are seeking to protect in a given patent application, we may not be entitled to the protection sought by the patent application. We also cannot be certain whether the claims included in a patent application will ultimately be granted as an issued patent since the patent office of the jurisdiction in which a patent application is filed may rule that the subject matter we are seeking to patent is not novel or is obvious or otherwise non-inventive or rule that the patent application and/or claims of the patent application do not comply with one or more other requirements of the patent laws of the jurisdiction. Further, the scope of protection of issued patent claims is often difficult to determine. As a result, we cannot be certain that our issued patents will afford protection against competitors with similar technology. In addition, our competitors may design around our issued patents, which may adversely affect our business, prospects,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 addition to patented technology, we rely on our unpatented proprietary technology, copyrights, trade secrets, proprietary processes and know-how.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rely on proprietary information (including, for example, trade secrets, know-how and confidential information) to protect intellectual property that may not be patentable or subject to copyright or trademark protection, or that we believe is best protected by means that do not require public disclosure. We may seek to protect this proprietary information by entering into confidentiality agreements, or consulting, services or employment agreements that contain non-disclosure and non-use provisions with our employees, consultants, contractors and third parties. We may fail, however, to enter into the necessary agreements, and even if properly executed and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Additionally, we have limited control over the protection of trade secrets used by our current or future manufacturing partners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advisors and other third parties use intellectual property owned by others in their work for us, disputes may arise as to the rights in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rely on security measures, both physical and electronic, to protect our proprietary information, but we cannot provide assurance that these security measures will not be breached or provide adequate protection for our property. There is a risk that third parties may obtain and improperly utilize our proprietary information to our competitive disadvantage. Also, we may not be able to detect or prevent the unauthorized use of such information or take appropriate and timely steps to enforce our intellectual property rights.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be subject to damages resulting from claims that we or our employees have wrongfully used or disclosed alleged trade secrets of our employees’ former employers.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be subject to claims that we or our employees have inadvertently or otherwise used or disclosed trade secrets or other proprietary information of one or more of an employee’s former employers. Litigation may be necessary to defend us against these claims. If we fail in defending such claims, in addition to paying monetary damages, we may lose valuable intellectual property rights or personnel. A loss of key personnel or their work product could hamper or prevent our ability to commercialize our products, which could severely harm our business. Even if we are successful in defending against any such claims, litigation could result in substantial costs and demand on management resources.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Being a Public Company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Certain of our warrants are accounted for as liabilities and the changes in value of such warrants could have a material effect on our financial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determined to classify the private placement warrants assumed from CLA as derivative liabilities measured at fair value, with changes in fair value each period reported in earnings. Due to the recurring fair value measurement, we recognize non-cash gains or losses on the private placement warrants each reporting period and the amount of such gains or losses has been material and could continue to be material in the future. Our accounting treatment of our warrants is based on its current interpretation of the SEC Statement and other guidance and may change in light of any further interpretive guidance, as may be applicable.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have identified material weaknesses in our internal control over financial reporting and may identify additional material weaknesses in the future or otherwise fail to maintain effective internal control over financial reporting, which may result in material misstatements of our consolidated financial statements, cause us to fail to meet our periodic reporting obligations, or cause our access to the capital markets to be impaired.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did not design and maintain an effective control environment commensurate with our financial reporting requirements. Specifically, we did not maintain a sufficient complement of personnel with an appropriate degree of internal controls and accounting knowledge, experience, and training commensurate with our accounting and reporting requirements. This material weakness contributed to the following additional material weaknesses: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did not design and maintain effective controls over the period-end financial reporting process to achieve complete, accurate and timely financial accounting, reporting and disclosures, including segregation of duties and adequate controls related to journal entries and certain other business processes, and verifying transactions are properly classified in the financial statements. These material weaknesses resulted in adjustments to several account balances and disclosures in the consolidated financial statements for the years ended December 31, 2019 and 2018, and adjustments to the equity and warrant liabilities accounts and related disclosures in the condensed consolidated financial statements for the three months ended March 31, 2021.</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each of these material weaknesses could result in a misstatement of account balances or disclosures that would result in a material misstatement to the annual or interim consolidated financial statements that would not be prevented or detected.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it relates to the above material weaknesses that continued to exist as of December 31, 2023, our management is committed and continues to make progress to improve our internal control over financial reporting. We continued implementation of a plan to remediate the control deficiencies that led to the above material weaknesses. These remediation measures are ongoing and include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Continuing to recruit personnel with appropriate internal controls, accounting knowledge and experience commensurate with our accounting and reporting requirements, in addition to engaging and utilizing third-party consultants and specialists. Our management also reallocated roles and responsibilities within the accounting team based on skills and experience of various personnel.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Continuing to operate entity level controls (ELCs) including Board and Audit Committee oversight, senior management review of financial and business performance and internal controls, and expansion of the internal audit team. We have designed and implemented these controls in the previous financial years.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Continuing to provide internal control training for personnel responsible for implementing internal controls for the Company.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Continuing to operate internal controls for financial close and reporting including review of accounting policies, journal entry review controls including segregation of duties, period end close procedures, financial statement preparation, review, and reporting, and controls within various business processes as they relate to financial reporting, including controls to ensure segregation of duties. This included controls around classification of balances in our financial statements and strengthening processes for management oversight over financial reporting and disclosure controls. We have designed and implemented these controls in the previous financial years.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investments in resources have improved the stability of our accounting organization. While significant progress has been made in response to the material weakness, time is needed to demonstrate sustainability as it relates to our internal control over financial reporting and improvements made to our complement of resources, including demonstrating sustained operating effectiveness of our internal controls. We are committed to continuous improvement and will continue to diligently review our internal control over financial reporting. At this time, we cannot predict the success of these efforts or the outcome of our assessment of the remediation efforts. We can give no assurance that our efforts will remediate these material weaknesses in our internal control over financial reporting, or that additional material weaknesses will not be identified in the future. Our failure to implement and maintain effective internal control over financial reporting could result in errors in our consolidated financial statements that could result in a restatement of our financial statements and could cause us to fail to meet our reporting obligations, any of which could diminish investor confidence in us and cause a decline in the price of our common stock. Additionally, ineffective internal control could expose us to an increased risk of financial reporting fraud and the misappropriation of assets and subject us to potential delisting from the stock exchange on which we list or to other regulatory investigations and civil or criminal sanctions.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public company, we are required pursuant to Section 404(a) of the Sarbanes-Oxley Act to furnish a report by management on, among other things, the effectiveness of our internal control over financial reporting for each annual report on Form 10-K filed with the SEC. This assessment includes disclosure of any material weaknesses identified by our management in internal control over financial reporting. In the future, to the extent we are considered an accelerated filer or a large accelerated filer, our independent registered public accounting firm will also be required pursuant to Section 404(b)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of the Sarbanes-Oxley Act to attest to the effectiveness of our internal control over financial reporting in each annual report on Form 10-K to be filed with the SEC. We are also required to disclose material changes made in our internal control over financial reporting on a quarterly basis. Failure to comply with the Sarbanes-Oxley Act could potentially subject us to sanctions or investigations by the SEC, the stock exchange on which our securities are listed or other regulatory authorities, which would require additional financial and management resources.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There can be no assurance that we will be able to comply with the continued listing standards of the New York Stock Exchange (“NYSE”).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fail to satisfy the continued listing requirements of NYSE, such as the corporate governance requirements or the minimum share price requirement, NYSE may take steps to delist our securities. Such a delisting would likely have a negative effect on the price of the securities and would impair stockholders’ ability to trade in the Company’s securities. In the event of a delisting, we can provide no assurance that any action taken by us to restore compliance with listing requirements would allow our securities to become listed again, stabilize the market price or improve the liquidity of our securities, prevent our securities from dropping below the NYSE minimum share price requirement or prevent future non-compliance with NYSE’s listing requirements. Additionally, if our securities are not listed on, or become delisted from the NYSE, for any reason, and are quoted on the OTC Bulletin Board, an inter-dealer automated quotation system for equity securities that is not a national securities exchange, the liquidity and price of our securities may be more limited than if we were quoted or listed on the NYSE or another national securities exchange. If our securities become illiquid, stockholders may be unable to trade their securities unless a market can be established or sustained, and similarly if investors are precluded from trading their securities, it could have adverse consequences on our ability to raise more capital.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76" w:before="120" w:after="283"/>
        <w:jc w:val="left"/>
        <w:rPr>
          <w:rFonts w:ascii="Times New Roman;sans-serif" w:hAnsi="Times New Roman;sans-serif"/>
          <w:b/>
          <w:i/>
          <w:color w:val="000000"/>
          <w:sz w:val="20"/>
        </w:rPr>
      </w:pPr>
      <w:r>
        <w:rPr>
          <w:rFonts w:ascii="Times New Roman;sans-serif" w:hAnsi="Times New Roman;sans-serif"/>
          <w:b/>
          <w:i/>
          <w:color w:val="000000"/>
          <w:sz w:val="20"/>
        </w:rPr>
        <w:t>Our business, results of operations and financial condition have been and could continue to be adversely affected by the COVID-19. Other pandemics or public health crises may have similar impacts in the future.</w:t>
      </w:r>
    </w:p>
    <w:p>
      <w:pPr>
        <w:pStyle w:val="TextBody"/>
        <w:bidi w:val="0"/>
        <w:spacing w:lineRule="auto" w:line="288" w:before="120" w:after="283"/>
        <w:jc w:val="left"/>
        <w:rPr/>
      </w:pPr>
      <w:r>
        <w:rPr>
          <w:rFonts w:ascii="Times New Roman;sans-serif" w:hAnsi="Times New Roman;sans-serif"/>
          <w:b w:val="false"/>
          <w:color w:val="000000"/>
          <w:sz w:val="20"/>
        </w:rPr>
        <w:t>COVID-19 continues to evolve, with pockets of resurgence and the emergence of variant strains contributing to continued uncertainty about its scope, dur</w:t>
      </w:r>
      <w:r>
        <w:rPr>
          <w:rFonts w:ascii="Times New Roman;sans-serif" w:hAnsi="Times New Roman;sans-serif"/>
          <w:b w:val="false"/>
          <w:color w:val="000000"/>
          <w:sz w:val="20"/>
          <w:shd w:fill="FFFFFF" w:val="clear"/>
        </w:rPr>
        <w:t>ation, severity, trajectory, and lasting impact. The effects of the COVID-19 pandemic on our business and our financial condition previously included and may in the future include, among others: the reduced pace of manufacturing ramp up due to employees’ inability to travel to our manufacturing facility in Thailand; disruptions to the operations of certain of our suppliers; supply chain disruptions; and increased compensation related costs resulting from overtime pay and additional personnel in San Francisco to create separate manufacturing teams that rotate every other week in our facility to avoid any possible transmission of COVID-19 between teams. COVID-19 or other pandemics or public health crises and the associated business interruptions may affect our sales, supply chain or the manufacture and/or distribution of products, which could re</w:t>
      </w:r>
      <w:r>
        <w:rPr>
          <w:rFonts w:ascii="Times New Roman;sans-serif" w:hAnsi="Times New Roman;sans-serif"/>
          <w:b w:val="false"/>
          <w:color w:val="000000"/>
          <w:sz w:val="20"/>
        </w:rPr>
        <w:t xml:space="preserve">sult in a material adverse effect on our financial condition. The COVID-19 pandemic may also intensify or exacerbate other risks described in this section. Other pandemics or public health crises may have similar impacts in the future. </w:t>
      </w:r>
    </w:p>
    <w:p>
      <w:pPr>
        <w:pStyle w:val="TextBody"/>
        <w:bidi w:val="0"/>
        <w:spacing w:lineRule="auto" w:line="276" w:before="120" w:after="283"/>
        <w:jc w:val="left"/>
        <w:rPr>
          <w:rFonts w:ascii="Times New Roman;sans-serif" w:hAnsi="Times New Roman;sans-serif"/>
          <w:b/>
          <w:i/>
          <w:color w:val="000000"/>
          <w:sz w:val="20"/>
        </w:rPr>
      </w:pPr>
      <w:r>
        <w:rPr>
          <w:rFonts w:ascii="Times New Roman;sans-serif" w:hAnsi="Times New Roman;sans-serif"/>
          <w:b/>
          <w:i/>
          <w:color w:val="000000"/>
          <w:sz w:val="20"/>
        </w:rPr>
        <w:t>Our facilities in California are located near an earthquake fault and an earthquake or other natural disaster or resource shortage could disrupt our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Important documents and records for our products and manufacturing operations are located in our various facilities in San Francisco, California near active earthquake zones. In the event of a natural disaster such as an earthquake, drought, flood or fire or localized extended outages of critical utilities or transportation we do not have a formal business continuity or disaster recovery plan, and therefore could experience a significant business interruption. In addition, California has from time to time experienced shortages of water, natural gas, and electric power. Future shortages and conservation measures could impact our operations and result in increased expense. In addition, we rely on information technology systems to communicate among our workforce and with third parties. Any disruption to our communications, whether caused by a natural disaster or by man-made problems, such as power disruptions, could adversely affect our business. To the extent that any such disruptions result in delays or cancellations of orders or impede our suppliers’ ability to timely deliver product components, our business, operating results and financial condition would be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and our third-party providers are subject to cybersecurity risks to our IT Systems and Confidential Information, and any material failure, weakness, interruption, cyber event, incident, or breach of security could materially adversely affect our business, results of operations, and financial condition.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computer systems, hardware, software, technology infrastructure and online sites and networks for both internal and external operations that are critical to our business (collectively, “IT Systems”). We own and manage some of these IT Systems, but also rely on third parties for a range of IT Systems and related products and services. We and certain of our third-party providers collect, maintain and process data about customers, employees, business partners and others,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including information about individuals — as well as proprietary information belonging to our business such as trade secrets (collectively, “Confidential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and our third-party vendors and suppliers face numerous and evolving cybersecurity risks that threaten the confidentiality, integrity, and availability of our IT Systems and Confidential Information, including from diverse threat actors, such as state-sponsored organizations, opportunistic hackers, and hacktivists, as well as through diverse attack vectors including acts of vandalism, malware (including ransomware), social engineering, denial or degradation of service attacks, computer viruses, software bugs or vulnerabilities, supply chain attacks, phishing attacks, ransomware attacks, misplaced or lost data, human errors, malicious insiders or other similar events. Moreover, any integration of artificial intelligence in our or any third-party’s operations, products or services is expected to pose new or unknown cybersecurity risks and challenges.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certain of our third-party providers regularly experience actual and attempted cyberattacks and other incidents. Although none of these actual or attempted cyber-attacks has had a material adverse impact on our operations or financial condition to date, we cannot guarantee that any such incidents will not have such an impact in the future. For example, we are at risk for interruptions, outages and breaches of: IT Systems, including in relation to business, financial, accounting, product development, data processing or production processes, owned by us or our third-party vendors or suppliers; facility security systems, owned by us or our third-party vendors or suppliers; in-product technology owned by us or our third-party vendors or suppliers; the integrated software in our lidar solutions; or Confidential Information that we process or our third-party vendors or suppliers process on our behalf. Such cyber incidents could materially disrupt IT Systems; result in loss of Confidential Information including intellectual property, trade secrets or other proprietary or competitively sensitive information, certain information of customers, employees, suppliers, drivers or others; jeopardize the security of our facilities; or affect the performance of in-product technology and the integrated software in our lidar solutions.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Cyberattacks are expected to accelerate on a global basis in frequency and magnitude as threat actors are becoming increasingly sophisticated in using techniques and tools—including artificial intelligence—that circumvent security controls, evade detection and remove forensic evidence. As a result, we may be unable to detect, investigate, remediate or recover from future attacks or incidents, or to avoid a material adverse impact to our IT Systems, Confidential Information or business. We also cannot guarantee that our cybersecurity risk management program and processes, including our policies, controls, or procedures will be fully implemented, complied with, or adequate to detect, prevent or mitigate cyber incidents. Further, the implementation, maintenance, segregation and improvement of these programs and processes require significant management time, support and cost. Moreover, there are inherent risks associated with developing, improving, expanding and updating current programs and processes,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 We cannot be sure that the programs and processes upon which we rely, including those of our third-party vendors or suppliers, will be effectively implemented, maintained or expanded as planned. If we do not successfully implement, maintain or expand these programs and processes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Confidential Information, including proprietary information or intellectual property, could be compromised or misappropriated and our reputation may be adversely affected. If these programs and processes do not operate as we expect them to, we may be required to expend significant resources to make corrections or find alternative sources for performing these functions.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cyber incident could impact production capability, harm our reputation, cause us to breach our contracts with other parties or subject us to regulatory actions or litigation (including class actions), and require significant incident response, system restoration, or remediation and future compliance costs, any of which could materially affect our business, prospects, financial condition and operating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insurance coverage for cyber-attacks may not be sufficient to cover all the losses we may experience as a result of a cyber incident, and we cannot guarantee that applicable insurance will be available to us or in the future on economically reasonable terms at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Common Stock and Our Warrants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Amazon owns a warrant to purchase a significant portion of our outstanding common stock, and it may in the future be able to influence the Company’s corporate decisions.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Amazon.com NV Investment Holdings LLC, a wholly-owned subsidiary of Amazon.com, Inc. (“Amazon”), holds a warrant (“Amazon Warrant”) to acquire, following customary antidilution adjustments, up to an aggregate of 3,264,516 (1,933,613 of which are currently vested) shares of our common stock at an exercise price of $50.70 per share, representing 8.0% of our outstanding common stock as of March 21, 2024. We assumed the Amazon Warrant as part of the Velodyne Merger. The exercise price and the warrant shares issuable upon exercise of the Amazon Warrant are subject to further antidilution adjustments, including in the event we make certain sales of common stock (or securities exercisable or convertible into or exchangeable for shares of our common stock) at a price less than the exercise price of the Amazon Warrant. If Amazon were to exercise the Amazon Warrant to purchase significant amounts of our common stock, it may be able to exert significant control over us. It also may have interests that differ from other stockholders and may vote or otherwise act in ways with which we or other stockholders disagree or that may be adverse to the interests of our stockholders.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The price of our common stock and warrants may be volatile.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price of our common stock, as well as our warrants, may fluctuate due to a variety of factors, including:</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changes in the industries in which we and our customers operate;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developments involving our competitors;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changes in laws and regulations affecting our business;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variations in our operating performance and the performance of our competitors in general;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actual or anticipated fluctuations in our quarterly or annual operating results;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publication of research reports by securities analysts about us or our competitors or our industry;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the public’s reaction to our press releases, our other public announcements and our filings with the SEC;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actions by stockholders, including the sale by significant stockholders of any of their shares of our common stock;</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additions and departures of key personnel;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commencement of, or involvement in, litigation involving our Company;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changes in our capital structure, such as future issuances of securities or the incurrence of additional debt;</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volume of shares of our common stock available for public sale;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general economic and political conditions, such as the effects of the COVID-19 outbreak, recessions, interest rates, local and national elections, fuel prices, international currency fluctuations, corruption, political instability and acts of war or terrorism.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market and industry factors may materially reduce the market price of our common stock and warrants regardless of our operating performance.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do not intend to pay cash dividends for the foreseeable future.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analysts do not publish research about our business or if they publish inaccurate or unfavorable research, our stock price and trading volume could decline.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will depend in part on the research and reports that analysts publish about our business. We do not have any control over these analysts. If one or more of the analysts who cover us downgrade our common stock or publish inaccurate or unfavorable research about our business, the price of our common stock would likely decline. If few analysts cover us, demand for our common stock could decrease and our common stock price and trading volume may decline. Similar results may occur if one or more of these analysts stop covering us in the future or fail to publish reports on us regularly.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be subject to securities litigation, class action and derivative lawsuits, which could result in substantial costs and could divert management attention away from other business concerns.</w:t>
      </w:r>
    </w:p>
    <w:p>
      <w:pPr>
        <w:pStyle w:val="TextBody"/>
        <w:bidi w:val="0"/>
        <w:spacing w:lineRule="auto" w:line="288" w:before="120" w:after="283"/>
        <w:jc w:val="left"/>
        <w:rPr/>
      </w:pPr>
      <w:r>
        <w:rPr>
          <w:rFonts w:ascii="Times New Roman;sans-serif" w:hAnsi="Times New Roman;sans-serif"/>
          <w:b w:val="false"/>
          <w:color w:val="000000"/>
          <w:sz w:val="20"/>
        </w:rPr>
        <w:t xml:space="preserve">The market price of our common stock may be volatile and, in the past, companies that have experienced volatility in the market price of their stock have been subject to securities class action litigation. We may be the target of this type of litigation in the future. Additionally, securities class action lawsuits and derivative lawsuits are often brought against public companies that have entered into merger agreements. Even if the lawsuits are without merit, defending against these claims can result in substantial costs and divert management time and resources from other business concerns, which could seriously harm our business. An adverse judgment could result in monetary damages, which could have a negative impact on our liquidity and financial condition. For example, on December 1, 2022, December 20, 2022, December 29, 2022, and January 9, 2023, purported stockholders of Velodyne filed the following lawsuits against Velodyne and certain of its directors and officers in the Southern District of New York for violations of Sections 14(a) and 20(a) of the Securities Exchange Act of 1934 and SEC Rule 14a-9: </w:t>
      </w:r>
      <w:r>
        <w:rPr>
          <w:rFonts w:ascii="Times New Roman;sans-serif" w:hAnsi="Times New Roman;sans-serif"/>
          <w:b w:val="false"/>
          <w:i/>
          <w:color w:val="000000"/>
          <w:sz w:val="20"/>
        </w:rPr>
        <w:t>O’Dell v. Velodyne, et. al., Carlisle v. Velodyne, et. al., Wheeler v. Velodyne et. al.</w:t>
      </w:r>
      <w:r>
        <w:rPr>
          <w:rFonts w:ascii="Times New Roman;sans-serif" w:hAnsi="Times New Roman;sans-serif"/>
          <w:b w:val="false"/>
          <w:color w:val="000000"/>
          <w:sz w:val="20"/>
        </w:rPr>
        <w:t xml:space="preserve">, and </w:t>
      </w:r>
      <w:r>
        <w:rPr>
          <w:rFonts w:ascii="Times New Roman;sans-serif" w:hAnsi="Times New Roman;sans-serif"/>
          <w:b w:val="false"/>
          <w:i/>
          <w:color w:val="000000"/>
          <w:sz w:val="20"/>
        </w:rPr>
        <w:t>Cristino v. Velodyne, et. al</w:t>
      </w:r>
      <w:r>
        <w:rPr>
          <w:rFonts w:ascii="Times New Roman;sans-serif" w:hAnsi="Times New Roman;sans-serif"/>
          <w:b w:val="false"/>
          <w:color w:val="000000"/>
          <w:sz w:val="20"/>
        </w:rPr>
        <w:t xml:space="preserve">. The complaints allege that Velodyne’s disclosures in connection with the merger with Ouster were materially incomplete and misleading. The plaintiff in </w:t>
      </w:r>
      <w:r>
        <w:rPr>
          <w:rFonts w:ascii="Times New Roman;sans-serif" w:hAnsi="Times New Roman;sans-serif"/>
          <w:b w:val="false"/>
          <w:i/>
          <w:color w:val="000000"/>
          <w:sz w:val="20"/>
        </w:rPr>
        <w:t>O’Dell v. Velodyne et. al</w:t>
      </w:r>
      <w:r>
        <w:rPr>
          <w:rFonts w:ascii="Times New Roman;sans-serif" w:hAnsi="Times New Roman;sans-serif"/>
          <w:b w:val="false"/>
          <w:color w:val="000000"/>
          <w:sz w:val="20"/>
        </w:rPr>
        <w:t xml:space="preserve">. voluntarily dismissed his complaint on January 17, 2023 and the plaintiff in </w:t>
      </w:r>
      <w:r>
        <w:rPr>
          <w:rFonts w:ascii="Times New Roman;sans-serif" w:hAnsi="Times New Roman;sans-serif"/>
          <w:b w:val="false"/>
          <w:i/>
          <w:color w:val="000000"/>
          <w:sz w:val="20"/>
        </w:rPr>
        <w:t>Carlisle v. Velodyne, et. al</w:t>
      </w:r>
      <w:r>
        <w:rPr>
          <w:rFonts w:ascii="Times New Roman;sans-serif" w:hAnsi="Times New Roman;sans-serif"/>
          <w:b w:val="false"/>
          <w:color w:val="000000"/>
          <w:sz w:val="20"/>
        </w:rPr>
        <w:t>. voluntarily dismissed his complaint on February 21, 2023. Velodyne also received eleven demand letters from stockholders making similar allegations regarding Velodyne’s disclosures relating to the Velodyne Merger. The parties settled for immaterial mootness fees in September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litigation against us could result in substantial costs and divert management’s attention from other business concerns, which could seriously harm our business.</w:t>
      </w:r>
    </w:p>
    <w:p>
      <w:pPr>
        <w:pStyle w:val="TextBody"/>
        <w:bidi w:val="0"/>
        <w:spacing w:lineRule="auto" w:line="288" w:before="120" w:after="283"/>
        <w:jc w:val="left"/>
        <w:rPr/>
      </w:pPr>
      <w:r>
        <w:rPr>
          <w:rFonts w:ascii="Times New Roman;sans-serif" w:hAnsi="Times New Roman;sans-serif"/>
          <w:b/>
          <w:i/>
          <w:color w:val="000000"/>
          <w:sz w:val="20"/>
        </w:rPr>
        <w:t>Delaware law and our Certificate of Incorporation and Bylaws</w:t>
      </w:r>
      <w:r>
        <w:rPr>
          <w:color w:val="000000"/>
        </w:rPr>
        <w:t xml:space="preserve"> </w:t>
      </w:r>
      <w:r>
        <w:rPr>
          <w:rFonts w:ascii="Times New Roman;sans-serif" w:hAnsi="Times New Roman;sans-serif"/>
          <w:b/>
          <w:i/>
          <w:color w:val="000000"/>
          <w:sz w:val="20"/>
        </w:rPr>
        <w:t>contain certain provisions, including anti-takeover provisions that limit the ability of stockholders to take certain actions and could delay or discourage takeover attempts that stockholders may consider favorable.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Certification of Incorporation and Bylaws and the Delaware General Corporations Law (“DGCL”) contain provisions that could have the effect of rendering more difficult, delaying, or preventing an acquisition that stockholders may consider favorable, including transactions in which stockholders might otherwise receive a premium for their shares. These provisions could also limit the price that investors might be willing to pay in the future for shares of our common stock, and therefore depress the trading price of our common stock. These provisions could also make it difficult for stockholders to take certain actions, including electing directors who are not nominated by the current members of our board of directors or taking other corporate actions, including effecting changes in our management. Among other things, the Certification of Incorporation and Bylaws include provisions regarding:</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providing for a classified board of directors with staggered, three-year terms;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the ability of our board of directors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the Certificate of Incorporation prohibits cumulative voting in the election of directors, which limits the ability of minority stockholders to elect director candidates;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limitation of the liability of, and the indemnification of, our directors and officers;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ability of our board of directors to amend the bylaws, which may allow our board of directors to take additional actions to prevent an unsolicited takeover and inhibit the ability of an acquirer to amend the bylaws to facilitate an unsolicited takeover attempt;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advance notice procedures with which stockholders must comply to nominate candidates to our board of directors or to propose matters to be acted upon at a stockholders’ meeting, which could preclude stockholders from bringing matters before annual or special meetings of stockholders and delay changes in our board of directors and also may discourage or deter a potential acquirer from conducting a solicitation of proxies to elect the acquirer’s own slate of directors or otherwise attempting to obtain control of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provisions, alone or together, could delay or prevent hostile takeovers and changes in control or changes in our board of directors or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The provisions of our Certificate of Incorporation requiring exclusive forum in the Court of Chancery of the State of Delaware and the federal district courts of the United States for certain types of lawsuits may have the effect of discouraging lawsuits against our directors and officers.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provides that, to the fullest extent permitted by law, and unless we consent in writing to the selection of an alternative forum, the Court of Chancery of the State of Delaware (or, in the event that the Chancery Court does not have jurisdiction, the federal district court for the District of Delaware or other state courts of the State of Delaware) will be the sole and exclusive forum for (i) any derivative action, suit or proceeding brought on our behalf, (ii) any action, suit or proceeding asserting a claim of breach of a fiduciary duty owed by any of our directors, officers or stockholders to us or our stockholders, (iii) any action, suit or proceeding arising pursuant to any provision of the DGCL or our Bylaws or Certificate of Incorporation (as each may be amended from time to time), (iv) any action, suit or proceeding as to which the DGCL confers jurisdiction on the Court of Chancery of the State of Delaware, or (v) any action, suit or proceeding asserting a claim against us or any current or former director, officer or stockholder governed by the internal affairs doctrine.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will also provide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Certificate of Incorporation provides that the exclusive forum provision will not apply to suits brought to enforce any cause of action arising under the Securities Act, any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the Certificate of Incorporation to be inapplicable or unenforceable in such action.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Holders of our publicly traded warrants will not be permitted to exercise their warrants unless the warrants remain registered or certain exemptions are available.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 issuance of the common stock upon exercise of our publicly traded warrants is not registered, qualified or exempt from registration or qualification under the Securities Act and applicable state securities laws, holders of warrants will not be entitled to exercise such warrants and such warrants may have no value and expire worthless. In such event, holders who acquired their warrants as part of a purchase of units will have paid the full unit purchase price solely for the common stock included in the units.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 common stock issuable upon exercise of the publicly traded warrants are not registered under the Securities Act, under the terms of the warrant agreement, holders of warrants who seek to exercise their warrants will not be permitted to do so for cash and, instead, will be required to do so on a cashless basis in accordance with Section 3(a)(9) of the Securities Act or another exemption.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no event will warrants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our common stock are at the time of any exercise of a warrant not listed on a national securities exchange such that they satisfy the definition of “covered securities” under Section 18(b)(1) of the Securities Act, we may, at our option, not permit holders of warrants who seek to exercise their warrants to do so for cash and, instead, require them to do so on a cashless basis in accordance with Section 3(a)(9) of the Securities Act; in the event we so elect, we will not be required to file or maintain in effect a registration statement or register or qualify the shares underlying the warrants under applicable state securities laws, and in the event we do not so elect, we will use our best efforts to register or qualify the shares underlying the warrants under applicable state securities laws to the extent an exemption is not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no event will we be required to net cash settle any warrant, or issue securities (other than upon a cashless exercise as described above) or other compensation in exchange for the warrants in the event that we are unable to register or qualify the shares underlying the warrants under the Securities Act or applicable state securities laws.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Holders of our publicly traded warrants may only be able to exercise such warrants on a “cashless basis” under certain circumstances, and if they do so, they will receive fewer shares of common stock from such exercise than if they were to exercise such warrants for cash.</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warrant agreements provide that in the following circumstances holders of warrants who seek to exercise their warrants will not be permitted to do for cash and will, instead, be required to do so on a cashless basis in accordance with Section 3(a)(9) of the Securities Act: (i) if the common stock issuable upon exercise of the warrants are not registered under the Securities Act in accordance with the terms of the warrant agreement; (ii) if we have so elected and the common stock are at the time of any exercise of a warrant not listed on a national securities exchange such that they satisfy the definition of “covered securities” under Section 18(b)(1) of the Securities Act; and (iii) if we have so elected and we call the public warrants for redemption. If holder exercises public warrants on a cashless basis, they would pay the warrant exercise price by surrendering the warrants for that number of common stock equal to the quotient obtained by dividing (x) the product of the number of common stock underlying the warrants, multiplied by the excess of the “fair market value” of our common stock (as defined in the next sentence) over the exercise price of the warrants by (y) the fair market value. The “fair market value” is the average reported closing price of the common stock for the 10 trading days ending on the third trading day prior to the date on which the notice of exercise is received by the warrant agent or on which the notice of redemption is sent to the holders of warrants, as applicable. As a result, an impacted warrant holder would receive fewer shares of common stock from such exercise than if you were to exercise such warrants for cash.</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amend the terms of the publicly traded warrants in a manner that may be adverse to holders of public warrants with the approval by the holders of at least 50% of the then outstanding public warrants. As a result, the exercise price of the publicly traded warrants could be increased, the exercise period could be shortened and the number of common stock purchasable upon exercise of a warrant could be decreased, all without warrant holder approval.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publicly traded warrants were issued in registered forms under warrant agreements between Continental Stock Transfer &amp; Trust Company, as warrant agent, and us (or formerly, Velodyne). The warrant agreements provide that the terms of each class of warrants may be amended without the consent of any holder for certain limited administrative provisions, and that the approval by the holders of at least 50% of the then-outstanding public warrants in such class is required to make any change that adversely affects the interests of the registered holders of publicly traded warrants. Accordingly, we may amend the terms of either class of public warrants in a manner adverse to a holder of such class of public warrants if holders of at least 50% of the then outstanding public warrants in such class approve of such amendment. Although our ability to amend the terms of the public warrants with the consent of at least 50% of the then outstanding class of public warrants is unlimited, examples of such amendments could be amendments to, among other things, increase the exercise price of the warrants, convert the warrants into cash or shares, shorten the exercise period or decrease the number of shares of common stock purchasable upon exercise of a warrant.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warrant agreements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warrant agreements for our publicly traded warrants provide that, subject to applicable law, (i) any action, proceeding or claim against us arising out of or relating in any way to the warrant agreements,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foregoing, these provisions of the warrant agreements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agreements,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such warrant holder in any such enforcement action by service upon such warrant holder’s counsel in the foreign action as agent for such warrant holder.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choice-of-forum provision may limit a warrant holder’s ability to bring a claim in a judicial forum that it finds favorable for disputes with us, which may discourage such lawsuits. Alternatively, if a court were to find this provision in our warrant agreements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redeem unexpired publicly traded warrants prior to their exercise at a time that is disadvantageous to warrant holders, thereby making such warrants worthless.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the ability to redeem the outstanding publicly traded warrants at any time prior to their expiration. For the class of publicly traded warrants traded under the symbol “OUST.WS”, we may redeem such warrants at a price of $0.10 per warrant, provided that the closing price of our common stock equals or exceeds $180.00 per share (as adjusted for share splits, share capitalizations, reorganizations, recapitalizations and the like) for any 20 trading days within a 30 trading-day period ending on the third trading day prior to the date on which we give proper notice of such redemption to the warrant holders and provided certain other conditions are met. For the class of publicly traded warrants traded under the symbol “OUST.WSA”, we may redeem such warrants at a price of $0.10 per warrant, provided that the closing price of our common stock equals or exceeds $219.41 per share (as adjusted for share splits, share capitalizations, reorganizations, recapitalizations and the like) for any 20 trading days within a 30 trading-day period ending on the third trading day prior to the date on which we give proper notice of such redemption to the warrant holders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initially issued by CLA will be redeemable by us so long as they are held by Colonnade Sponsor LLC or its permitted transferees.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program seeks to ensure the confidentiality, integrity, and availability of the Company’s information assets, including its critical systems. The Company’s cybersecurity program is based on an ISO 27001 compliant Information Security Management System (ISMS). This does not imply that we meet any particular technical standards, specifications, or requirements, only that we use ISO 27001 as a guide to help us identify, assess, and manage cybersecurity risks relevant to our business. Our cybersecurity program is integrated into our overall risk management program, and is used to assess cybersecurity risks as part of the Company’s enterprise risk assessment.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program focuses on (i) raising security awareness of our employees and product development teams, and (ii) implementing and maintaining security operations that are designed to protect identities, networks, systems and data and provide for detection, response and recovery, including a cyber incident response plan. Our cyber incident response plan outlines a process for detecting and responding to cybersecurity incidents.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engage external parties to enhance our cybersecurity program and to operate a variety of operational functions. In accordance with the third-party’s criticality to our operations and respective risk profile, we assess and engage consultants, advisors and vendors who are recognized for their cybersecurity expertise or products to supplement, augment and/or test specific elements of our security program, such as identity management, email security, network security, system/endpoint protection and managed detection and response. We also engage third-party specialists to conduct security assessments and independent audits of the security of the Company’s systems and networks. The results of these assessments are used to help us improve our cybersecurity program.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the Company adopted a third-party management policy to formalize the baseline of security controls that it expects its partners and other third-party companies to meet, in accordance with their criticality to our operations and respective risk profile, when directly interacting with the Company’s data. To mitigate risks that may arise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Company’s interactions with service providers, suppliers, and vendors, we strive to ensure that our systems/services are integrated with trustworthy vendors.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to date we have not experienced a material cybersecurity incident resulting in an interruption of our operations, the scope or impact of any future incident cannot be predicted with complete certainty. For additional information on our cybersecurity risks, see “We are subject to cybersecurity risks to operational systems, security systems, infrastructure, firmware in our lidar and customer data processed by us or third-party vendors or suppliers and any material failure, weakness, interruption, cyber event, incident or breach of security could harm our reputation and adversely affect our ability to conduct our business and we may incur significant liabilities.” in Part 1, Item 1A for more information.</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Cybersecurity Governance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Board considers cybersecurity risk as part of its risk oversight function and has delegated to the Audit Committee oversight of the Company’s cybersecurity program and other information technology risks. The Audit Committee receives regular cybersecurity updates and reports from members of the Company’s executive team and the Director of Information, Cyber-Security and Compliance. The Company’s executive team monitors the activities of the breach response team (“BRT”) and where appropriate participates in and supports the BRT in the evaluation and remediation of actual or perceived cyber incidents in accordance with the Company’s incident response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corporate headquarters are located in San Francisco, California where we lease properties as follows: (i) 26,125 square feet of office space pursuant to a lease that is scheduled to expire in August 2027, (ii) 20,032 square feet of office space in a building adjacent to our corporate headquarters, which term is scheduled to expire in August 2027 and approximately 204,000 square feet of office and manufacturing space in San Jose, California. Other functions of the Company are also performed in San Francisco, California, such as engineering, manufacturing, research and development and administrative functions.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lease other small facilities that we use as offices for our sales and office personnel. These facilities are not material to our business or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from time to time, party to various claims and legal proceedings arising in the ordinary course of our business. See Note 9. Commitments and Contingencies included in the notes to our audited financial statements included elsewhere in the Annual Report on Form 10-K for a discussion of our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and warrants expiring in 2026 are listed for trading on the NYSE under the symbols “OUST” and “OUST-WS”, respectively, and our warrants expiring in 2025 are listed for trading on the NYSE American under the symbol “OUST WSA”.</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Holders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21, 2024, there were 218 registered holders of record of our common stock. The actual number of stockholders of our common stock is greater than this number of record holders and includes stockholders who are beneficial owners but whose shares of common stock are held in street name by banks, brokers and other nominees.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Recent Sales of Unregistered Securities; Purchases of Equity Securities by the Issuer or Affiliated Purchaser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capital stock. We currently intend to retain all available funds and future earnings, if any, for the operation and expansion of our business and do not anticipate declaring or paying any dividends in the foreseeable future.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and subject to the restrictions contained in any future financing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sans-serif" w:hAnsi="Times;sans-serif"/>
          <w:b/>
          <w:color w:val="000000"/>
          <w:sz w:val="20"/>
        </w:rPr>
      </w:pPr>
      <w:r>
        <w:rPr>
          <w:rFonts w:ascii="Times;sans-serif" w:hAnsi="Times;sans-serif"/>
          <w:b/>
          <w:color w:val="000000"/>
          <w:sz w:val="20"/>
        </w:rPr>
        <w:t xml:space="preserve">Item 7. Management’s Discussion and Analysis of Financial Condition and Results of Operations.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together with our audited consolidated financial statements and related notes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“Risk Factors” and in other parts of this Annual Report on Form 10-K.</w:t>
      </w:r>
    </w:p>
    <w:p>
      <w:pPr>
        <w:pStyle w:val="TextBody"/>
        <w:bidi w:val="0"/>
        <w:spacing w:lineRule="auto" w:line="288" w:before="120" w:after="283"/>
        <w:jc w:val="left"/>
        <w:rPr>
          <w:rFonts w:ascii="Times;sans-serif" w:hAnsi="Times;sans-serif"/>
          <w:b w:val="false"/>
          <w:i/>
          <w:color w:val="000000"/>
          <w:sz w:val="20"/>
        </w:rPr>
      </w:pPr>
      <w:r>
        <w:rPr>
          <w:rFonts w:ascii="Times;sans-serif" w:hAnsi="Times;sans-serif"/>
          <w:b w:val="false"/>
          <w:i/>
          <w:color w:val="000000"/>
          <w:sz w:val="20"/>
        </w:rPr>
        <w:t>On April 20, 2023, we filed with the Secretary of State of the State of Delaware a Certificate of Amendment to our Certificate of Incorporation to effect a one-for-10 reverse stock split of our common stock and a corresponding reduction in our authorized shares of common stock (the “Reverse Stock Split”). The historical share and per share information included herein have been adjusted to reflect the Reverse Stock Split.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jc w:val="left"/>
        <w:rPr/>
      </w:pPr>
      <w:r>
        <w:rPr>
          <w:rFonts w:ascii="Times New Roman;sans-serif" w:hAnsi="Times New Roman;sans-serif"/>
          <w:b w:val="false"/>
          <w:color w:val="000000"/>
          <w:sz w:val="20"/>
        </w:rPr>
        <w:t>We founded Ouster in 2015 with the invention of our high-performance digital lidar.</w:t>
      </w:r>
      <w:r>
        <w:rPr>
          <w:color w:val="000000"/>
          <w:shd w:fill="FFFFFF" w:val="clear"/>
        </w:rPr>
        <w:t xml:space="preserve"> </w:t>
      </w:r>
      <w:r>
        <w:rPr>
          <w:rFonts w:ascii="Times New Roman;sans-serif" w:hAnsi="Times New Roman;sans-serif"/>
          <w:b w:val="false"/>
          <w:color w:val="000000"/>
          <w:sz w:val="20"/>
          <w:shd w:fill="FFFFFF" w:val="clear"/>
        </w:rPr>
        <w:t>To continue to grow our bus</w:t>
      </w:r>
      <w:r>
        <w:rPr>
          <w:rFonts w:ascii="Times New Roman;sans-serif" w:hAnsi="Times New Roman;sans-serif"/>
          <w:b w:val="false"/>
          <w:color w:val="000000"/>
          <w:sz w:val="20"/>
        </w:rPr>
        <w:t>iness in the coming years, we have expanded and plan to continue to maintain and opportunistically expand our sales and marketing efforts and our software development capabilities, and to accelerate sensor development efforts. We are headquartered in San Francisco, CA.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 leading global provider of high-resolution digital lidar sensors that offer advanced 3D vision to machinery, vehicles, robots, and fixed infrastructure assets, which allows each to understand and visualize the surrounding world and enable safe operation and autonomy. We design and manufacture digital lidar sensors that we believe are one of the highest-performing, lowest-cost lidar solutions available today across each of our four target markets: industrial automation; smart infrastructure; robotics; and automotive.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provide perception software platforms for smart infrastructure deployments. Our software enables real-time people and object detection, classification, and tracking for actionable, intuitive, and customizable insights while preserving personally identifiable information. Our digital lidar sensors leverage a simplified architecture based on two semiconductor chips and are backed by a suite of patent-protected technology.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invested heavily in patents since our inception, pursuing comprehensive coverage of invention families and use cases, with broad international coverage. We believe that our extensive patent coverage creates material barriers to entry for anyone aiming to compete in the digital lidar space.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offering currently includes four models of sensors in our OS product line: the hemispheric field of view OSDome, the ultra-wide field of view OS0, the mid-range OS1, and the long-range OS2. Within our OS sensor models, we offer numerous customization options, all enabled by embedded software. For each of our three models in the OS product line, we offer resolution options of 128 lines vertically (“channels”), 64 channels, or 32 channels, as well as many beam spacing options. On October 19, 2022, we announced the launch of our newest OS series scanning sensors, REV7, powered by our next-generation L3 chip. REV7 features the all-new OSDome sensor, as well as upgraded OS0, OS1, and OS2 sensors that deliver double the range, enhanced object detection, increased precision and accuracy, and greater reliability. The new REV7 sensors offer performance upgrades that we believe will enhance Ouster’s market opportunity, driven by new opportunities for longer-range and mapping applications. We are currently developing our solid-state DF product line, which is a suite of short, mid, and long-range solid-state digital lidar sensors that provide uniform precision imaging without motion blur across an entire field of view.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simplicity of our digital lidar design gives us a meaningful advantage in costs related to manufacturing, supply chain and production yields. Within our OS sensor models, we offer numerous customization options, all enabled by embedded software which minimizes changes to manufacturing or inventory. Our main manufacturing partners are Benchmark and Fabrinet. Benchmark and Fabrinet manufacture the majority of our products at their facilities in Thailand, which we expect will continue to reduce our product costs and allow us to continue to rapidly scale production to meet our anticipated product demand. Based on cost quotes for our products in mass production, we anticipate our manufacturing costs per unit will decrease further with higher volumes.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Merger with Velodyne Lidar, Inc.</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4, 2022, we entered into an Agreement and Plan of Merger (the “Velodyne Merger Agreement”) with Velodyne Lidar, Inc., a Delaware corporation (“Velodyne”), Oban Merger Sub, Inc., a Delaware corporation and one of our direct, wholly owned subsidiaries (“Velodyne Merger Sub I”) and Oban Merger Sub II LLC, a Delaware limited liability company and one of our direct, wholly owned subsidiaries (“Velodyne Merger Sub II”).</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10, 2023, we completed our merger of equals with Velodyne pursuant to the terms of the Agreement and Plan of Merger with Velodyne, Merger Sub I and Merger Sub II (the “Velodyne Merger”). In connection with the closing of the Velodyne Merger, we and Velodyne now operate as a single combined company. We believe the Velodyne Mergers will enhance our robust suite of product offerings; grow our diverse customer base; increase operational efficiencies; further develop our innovative product roadmap in anticipation for the future needs of the market; reduce our production costs; improve our path to profitability; and strengthen our future financial position.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offerings acquired through the Velodyne Merger includes three models of sensors. The Alpha Prime (VLS-128) is a lidar sensor designed for autonomous driving and advanced vehicle safety, offering a 300-meter range with 128 lasers and real-time 3D data at 0.1-degree vertical and horizontal resolution. Recognized at the Pace Automotive Award in 2019, it provides a superior combination of range, resolution, and precision for Level 4 and Level 5 autonomous vehicles in both highway and low-speed urban environments. On the other hand, the Puck (VLP-16) is designed for mass production and affordability, featuring 16 lasers, a 100-meter range, and a multi-laser design with lower power consumption, lighter weight, and a compact footprint, making it suitable for low-speed autonomy and driver assistance. The Puck Hi-Res (VLP-16 Hi-Res) is an enhanced version of the original Puck, designed for applications requiring high image resolution, maintaining a 100-meter range and introducing a tighter laser distribution for more details in the 3D image at longer ranges, enabling better object identification.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80" w:after="283"/>
        <w:jc w:val="left"/>
        <w:rPr/>
      </w:pPr>
      <w:r>
        <w:rPr>
          <w:rFonts w:ascii="Times New Roman;sans-serif" w:hAnsi="Times New Roman;sans-serif"/>
          <w:b/>
          <w:color w:val="000000"/>
          <w:sz w:val="20"/>
          <w:shd w:fill="FFFFFF" w:val="clear"/>
        </w:rPr>
        <w:t xml:space="preserve">Amazon </w:t>
      </w:r>
      <w:r>
        <w:rPr>
          <w:rFonts w:ascii="Times New Roman;sans-serif" w:hAnsi="Times New Roman;sans-serif"/>
          <w:b/>
          <w:color w:val="000000"/>
          <w:sz w:val="20"/>
        </w:rPr>
        <w:t>Warrant</w:t>
      </w:r>
    </w:p>
    <w:p>
      <w:pPr>
        <w:pStyle w:val="TextBody"/>
        <w:bidi w:val="0"/>
        <w:spacing w:lineRule="auto" w:line="288" w:before="120" w:after="283"/>
        <w:jc w:val="left"/>
        <w:rPr/>
      </w:pPr>
      <w:r>
        <w:rPr>
          <w:rFonts w:ascii="Times New Roman;sans-serif" w:hAnsi="Times New Roman;sans-serif"/>
          <w:b w:val="false"/>
          <w:color w:val="000000"/>
          <w:sz w:val="20"/>
        </w:rPr>
        <w:t>Amazon.com NV Investment Holdings LLC, a wholly-owned subsidiary of Amazon.com, Inc. (“Amazon”), holds a warrant (“Amazon Warrant”) to acquire shares of our common stock. We assumed the Amazon Warrant as part of the Velodyne Merger. As a result of the issuance and sale by us of an additional 2,878,875</w:t>
      </w:r>
      <w:r>
        <w:rPr>
          <w:color w:val="000000"/>
        </w:rPr>
        <w:t xml:space="preserve"> </w:t>
      </w:r>
      <w:r>
        <w:rPr>
          <w:rFonts w:ascii="Times New Roman;sans-serif" w:hAnsi="Times New Roman;sans-serif"/>
          <w:b w:val="false"/>
          <w:color w:val="000000"/>
          <w:sz w:val="20"/>
        </w:rPr>
        <w:t>shares of common stock in the year ended December 31, 2023 pursuant to the At-Market-Issuance Sales Agreement at prices below the exercise price of the Amazon Warrant, an antidilution adjustment to the terms of the Amazon Warrant occurred, resulting in the increase in the number of shares issuable under the Amazon Warrant by 618 shares of common stock and a reduction to the original strike price of the Amazon Warrant to $50.70 per share. As of December 31, 2023, there were 3,264,516 shares of common stock issuable under the Amazon Warrant. The exercise price and the warrant shares issuable upon exercise of the Amazon Warrant are subject to further antidilution adjustments, including in the event we make certain sales of common stock (or securities exercisable or convertible into or exchangeable for shares of our common stock) at a price less than the exercise price of the Amazon Warrant. The Amazon Warrant is subject to vesting; 50% of the unvested Amazon Warrant as of the date of the Velodyne Merger vested as a result of the Velodyne Merger and the remainder will vest over time based on payments by Amazon or its affiliates to us in connection with Amazon’s purchase of goods and services from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Factors Affecting Our Performance</w:t>
      </w:r>
    </w:p>
    <w:p>
      <w:pPr>
        <w:pStyle w:val="TextBody"/>
        <w:bidi w:val="0"/>
        <w:spacing w:lineRule="auto" w:line="288" w:before="120" w:after="283"/>
        <w:jc w:val="left"/>
        <w:rPr/>
      </w:pPr>
      <w:r>
        <w:rPr>
          <w:rFonts w:ascii="Times New Roman;sans-serif" w:hAnsi="Times New Roman;sans-serif"/>
          <w:b w:val="false"/>
          <w:i/>
          <w:color w:val="000000"/>
          <w:sz w:val="20"/>
        </w:rPr>
        <w:t xml:space="preserve">Commercialization of Lidar Applications. </w:t>
      </w:r>
      <w:r>
        <w:rPr>
          <w:rFonts w:ascii="Times New Roman;sans-serif" w:hAnsi="Times New Roman;sans-serif"/>
          <w:b w:val="false"/>
          <w:color w:val="000000"/>
          <w:sz w:val="20"/>
        </w:rPr>
        <w:t>We believe that lidar and system solutions, including our subscription-based software, are approaching an inflection point of adoption across our target end market applications, and that we are well-positioned to capitalize on this market adoption. However, as our customers continue research and development projects that rely on lidar technology, it is difficult to estimate the timing of ultimate end market and customer adoption. As a result, we expect that our results of operations, including revenue and gross margins, will continue to fluctuate on a quarterly and annual basis for the foreseeable future. As the market for lidar solutions matures and more customers reach a commercialization phase with solutions that rely on our technology, the fluctuations in our operating results may become less pronounced. In May 2023, the Company announced that it had been awarded a serial production agreement with Motional, a global leader in driverless technology, to be Motional’s exclusive supplier of long-range lidar using the VLS-128 lidar sensor through 2026, and we intend to seek to establish similar relationships with other customers. In 2024, our strategic business objectives include expanding software solutions. Accordingly, we expect to make progress towards growing our revenue and expanding gross margins. Nonetheless, our revenue and gross margins may not increase as we expect unless and until more customers commercialize their products and lidar technology becomes more prevalent across our target end markets.</w:t>
      </w:r>
    </w:p>
    <w:p>
      <w:pPr>
        <w:pStyle w:val="TextBody"/>
        <w:bidi w:val="0"/>
        <w:spacing w:lineRule="auto" w:line="288" w:before="120" w:after="283"/>
        <w:jc w:val="left"/>
        <w:rPr/>
      </w:pPr>
      <w:r>
        <w:rPr>
          <w:rFonts w:ascii="Times New Roman;sans-serif" w:hAnsi="Times New Roman;sans-serif"/>
          <w:b w:val="false"/>
          <w:i/>
          <w:color w:val="000000"/>
          <w:sz w:val="20"/>
        </w:rPr>
        <w:t xml:space="preserve">Number of Customers in Production. </w:t>
      </w:r>
      <w:r>
        <w:rPr>
          <w:rFonts w:ascii="Times New Roman;sans-serif" w:hAnsi="Times New Roman;sans-serif"/>
          <w:b w:val="false"/>
          <w:color w:val="000000"/>
          <w:sz w:val="20"/>
        </w:rPr>
        <w:t>For certain strategic customers and markets, our products must be integrated into a broader platform, which then must be tested, validated, and achieve system-level performance and reliability thresholds that enable commercial production and sales. The time necessary to reach commercial production varies from six months to seven years, based on the market and application. For example, the production cycle in the automotive market tends to be substantially longer than in our other target markets, including industrial automation, smart infrastructure and robotics. It is critical to our future success in each of our target end markets that our customers reach commercial production and sales and that they select our products in their commercial production applications. Because the timelines to reach production vary significantly and the revenue generated by each customer in connection with commercial production and sales is unpredictable, it is difficult for us to reliably predict our financial performance.</w:t>
      </w:r>
    </w:p>
    <w:p>
      <w:pPr>
        <w:pStyle w:val="TextBody"/>
        <w:bidi w:val="0"/>
        <w:spacing w:lineRule="auto" w:line="288" w:before="120" w:after="283"/>
        <w:jc w:val="left"/>
        <w:rPr/>
      </w:pPr>
      <w:r>
        <w:rPr>
          <w:rFonts w:ascii="Times New Roman;sans-serif" w:hAnsi="Times New Roman;sans-serif"/>
          <w:b w:val="false"/>
          <w:i/>
          <w:color w:val="000000"/>
          <w:sz w:val="20"/>
        </w:rPr>
        <w:t>Customers’ Sales Volumes.</w:t>
      </w:r>
      <w:r>
        <w:rPr>
          <w:color w:val="000000"/>
        </w:rPr>
        <w:t xml:space="preserve"> </w:t>
      </w:r>
      <w:r>
        <w:rPr>
          <w:rFonts w:ascii="Times New Roman;sans-serif" w:hAnsi="Times New Roman;sans-serif"/>
          <w:b w:val="false"/>
          <w:color w:val="000000"/>
          <w:sz w:val="20"/>
        </w:rPr>
        <w:t>Our customer base is diversified and we aim to continue to penetrate into diverse end markets to increase our sales volumes. Ultimately widespread adoption of our customers’ products that incorporate our lidar solutions will depend on many factors, including the size of our customers’ end markets, end market penetration of our customer’s products that incorporate our digital lidar solutions, our end customers’ ability to sell their products, and the financial stability and reputation of the customers. In 2024, our strategic business objectives include growing our installed base of customers. We believe our sales volume by customer depends on the end market demand for our customers’ products that incorporate our digital lidar solutions as well as our ability to grow our sales force.</w:t>
      </w:r>
    </w:p>
    <w:p>
      <w:pPr>
        <w:pStyle w:val="TextBody"/>
        <w:bidi w:val="0"/>
        <w:spacing w:lineRule="auto" w:line="288" w:before="120" w:after="283"/>
        <w:jc w:val="left"/>
        <w:rPr/>
      </w:pPr>
      <w:r>
        <w:rPr>
          <w:rFonts w:ascii="Times New Roman;sans-serif" w:hAnsi="Times New Roman;sans-serif"/>
          <w:b w:val="false"/>
          <w:i/>
          <w:color w:val="000000"/>
          <w:sz w:val="20"/>
        </w:rPr>
        <w:t xml:space="preserve">Average Selling Prices (“ASPs”), Product Costs and Margins. </w:t>
      </w:r>
      <w:r>
        <w:rPr>
          <w:rFonts w:ascii="Times New Roman;sans-serif" w:hAnsi="Times New Roman;sans-serif"/>
          <w:b w:val="false"/>
          <w:color w:val="000000"/>
          <w:sz w:val="20"/>
        </w:rPr>
        <w:t>Our product costs and gross margins depend largely on the volumes of sensors shipped, the mix of existing and new products sold and the number and variety of solutions we provide to our customers. We anticipate that our selling prices will vary by target end market and application due to market-specific supply and demand dynamics. We expect to continue to experience some downward pressure on margins from signing anticipated large multi-year agreements in the near term with multi-year negotiated pricing. We expect that these customer-specific selling price fluctuations combined with our volume-driven product costs may drive fluctuations in revenue and gross margins on a quarterly basis. However, notwithstanding any short-term price surcharges on our products, we expect that over time our volume-driven product costs will decrease.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pPr>
      <w:r>
        <w:rPr>
          <w:rFonts w:ascii="Times New Roman;sans-serif" w:hAnsi="Times New Roman;sans-serif"/>
          <w:b w:val="false"/>
          <w:i/>
          <w:color w:val="000000"/>
          <w:sz w:val="20"/>
        </w:rPr>
        <w:t>Competition.</w:t>
      </w:r>
      <w:r>
        <w:rPr>
          <w:color w:val="000000"/>
        </w:rPr>
        <w:t xml:space="preserve"> </w:t>
      </w:r>
      <w:r>
        <w:rPr>
          <w:rFonts w:ascii="Times New Roman;sans-serif" w:hAnsi="Times New Roman;sans-serif"/>
          <w:b w:val="false"/>
          <w:color w:val="000000"/>
          <w:sz w:val="20"/>
        </w:rPr>
        <w:t>Lidar is an emerging market, and there are many competitors for the growing market. This has created downward pressure on our ASPs. We expect this pressure to continue to push our ASPs lower in the coming years. However, we believe that because of our complementary metal-oxide-semiconductor, digital lidar technology, we are well-positioned to scale more rapidly than our competitors and leverage our scale to deliver positive gross margins.</w:t>
      </w:r>
    </w:p>
    <w:p>
      <w:pPr>
        <w:pStyle w:val="TextBody"/>
        <w:bidi w:val="0"/>
        <w:spacing w:lineRule="auto" w:line="288" w:before="120" w:after="283"/>
        <w:jc w:val="left"/>
        <w:rPr/>
      </w:pPr>
      <w:r>
        <w:rPr>
          <w:rFonts w:ascii="Times New Roman;sans-serif" w:hAnsi="Times New Roman;sans-serif"/>
          <w:b w:val="false"/>
          <w:i/>
          <w:color w:val="000000"/>
          <w:sz w:val="20"/>
        </w:rPr>
        <w:t xml:space="preserve">Continued Investment and Innovation. </w:t>
      </w:r>
      <w:r>
        <w:rPr>
          <w:rFonts w:ascii="Times New Roman;sans-serif" w:hAnsi="Times New Roman;sans-serif"/>
          <w:b w:val="false"/>
          <w:color w:val="000000"/>
          <w:sz w:val="20"/>
        </w:rPr>
        <w:t>We believe that we are a leading lidar provider. Our financial performance is significantly dependent on our ability to maintain this leading position which is further dependent on the investments we make in research and development. We believe it is essential that we continue to identify and respond to rapidly evolving customer requirements, including successfully progressing our digital lidar roadmap and developing technologies that will enhance the operating performance of our products. For example, our next generation L4 custom silicon chip is taped out and we believe it will bring significant improvements in range, field of view, and manufacturability, along with safety certifications to the OS sensor family, and we currently plan to integrate the Chronos chip into its solid-state digital flash sensors in 2024. If we fail to continue our innovation, our market position and revenue may be adversely affected, and our investments in that area will not be recovered.</w:t>
      </w:r>
    </w:p>
    <w:p>
      <w:pPr>
        <w:pStyle w:val="TextBody"/>
        <w:bidi w:val="0"/>
        <w:spacing w:lineRule="auto" w:line="288" w:before="120" w:after="283"/>
        <w:jc w:val="left"/>
        <w:rPr/>
      </w:pPr>
      <w:r>
        <w:rPr>
          <w:rFonts w:ascii="Times New Roman;sans-serif" w:hAnsi="Times New Roman;sans-serif"/>
          <w:b w:val="false"/>
          <w:i/>
          <w:color w:val="000000"/>
          <w:sz w:val="20"/>
        </w:rPr>
        <w:t>Market Trends and Uncertainties.</w:t>
      </w:r>
      <w:r>
        <w:rPr>
          <w:color w:val="000000"/>
        </w:rPr>
        <w:t xml:space="preserve"> </w:t>
      </w:r>
      <w:r>
        <w:rPr>
          <w:rFonts w:ascii="Times New Roman;sans-serif" w:hAnsi="Times New Roman;sans-serif"/>
          <w:b w:val="false"/>
          <w:color w:val="000000"/>
          <w:sz w:val="20"/>
        </w:rPr>
        <w:t>We anticipate increasing demand for our digital lidar solution. We estimate a multibillion dollar total addressable market (“TAM”) for our solutions in the future. We define our TAM as automation applications in the industrial, smart infrastructure, robotics and automotive end markets where we actively engage and maintain customer relationships. Each of our target markets is potentially a significant global opportunity, and these markets have historically been underserved by limited or inferior technology or not served at all. We believe we are well positioned in our market as a leading provider of high-resolution lidar sensors.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increasing adoption of semi-autonomous solutions that rely on lidar technology may generate higher demand, we may not be able to take advantage of demand if we are unable to anticipate regulatory changes and adapt quickly enough to meet such new regulatory standards or requirements applicable to us or to our customers’ products in which our lidar sensors are used. Market acceptance of semi-autonomous solutions and active safety technology depend upon many factors, including cost, performance, safety performance, regulatory requirements and international taxes or tariffs related to such technologies. These factors may impact the ultimate market acceptance of our lidar technology.</w:t>
      </w:r>
    </w:p>
    <w:p>
      <w:pPr>
        <w:pStyle w:val="TextBody"/>
        <w:bidi w:val="0"/>
        <w:spacing w:lineRule="auto" w:line="288" w:before="120" w:after="283"/>
        <w:jc w:val="left"/>
        <w:rPr/>
      </w:pPr>
      <w:r>
        <w:rPr>
          <w:rFonts w:ascii="Times New Roman;sans-serif" w:hAnsi="Times New Roman;sans-serif"/>
          <w:b w:val="false"/>
          <w:i/>
          <w:color w:val="000000"/>
          <w:sz w:val="20"/>
        </w:rPr>
        <w:t>International Expansion.</w:t>
      </w:r>
      <w:r>
        <w:rPr>
          <w:color w:val="000000"/>
        </w:rPr>
        <w:t xml:space="preserve"> </w:t>
      </w:r>
      <w:r>
        <w:rPr>
          <w:rFonts w:ascii="Times New Roman;sans-serif" w:hAnsi="Times New Roman;sans-serif"/>
          <w:b w:val="false"/>
          <w:color w:val="000000"/>
          <w:sz w:val="20"/>
        </w:rPr>
        <w:t>We view international expansion as an important element of our strategy to increase revenue and achieve profitability. We continue to position ourselves in geographic markets that we expect to serve as important sources of future growth. We have an existing presence in three regions: Americas; Asia-Pacific; and Europe, Middle East and Africa. We intend to expand our presence in these regions over time including through distribution partnerships. Expanded global reach will require continued investment and may expose us to additional foreign currency risk, international taxes and tariffs, legal obligations and additional operational costs, risks and challenges that may impact our ability to meet our projected sales volumes, revenue and gross margins.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revenue comes from the sale of our lidar sensors and accessories both directly to end users and through distributors both domestically and internationally. We recognize revenue from product sales when the performance obligation of transferring control of the product to the customer has been met, generally when the product is shipped. We also recognize revenue by performing services related to product development, validation, maintenance under our extended warranty contracts and shipping; however, we do not expect product development and validation and license and services to be material components of revenue, cost of revenue or gross margin in the foreseeable future. Performance obligations related to services are generally recognized over time, based on cost-to-cost input basis or straight-line over time. Amounts billed to customers related to shipping and handling are classified as revenue, and we have elected to recognize the cost of shipping activities that occur after control has transferred to the customer as a fulfillment cost rather than a separate performance obligation. All related costs are accrued and recognized within cost of revenue when the related revenue is recognized.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Most of our customers are innovators and early technology adopters incorporating our products into their solutions. Currently, our product revenue consists of both customers ordering small volumes of our products that are in an evaluation phase and customers that order larger volumes of our products and have more predictable long-term production schedules. However, we believe we are still at the very beginning of the lidar adoption curve, and some customers are still learning their growth and demand rates which can impact the timing of purchase orders quarter to quarter. As we grow our business, we expect to continue to improve our own understanding of our customers’ needs and timelines, and expect the timing of orders will have a less notable impact on our quarterly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of the manufacturing cost of our lidar sensors, which primarily consists of sensor components, personnel-related expenses, including salaries, benefits, and stock-based compensation directly associated with our manufacturing organization, and amounts paid to our third-party contract manufacturer and vendors. Our cost of revenue also includes depreciation of manufacturing equipment, amortization of intangible assets, an allocated portion of overhead, facility and IT costs, warranty expenses, excess and obsolete inventory and shipping costs.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Gross Profit and Gross Margin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gross profit equals total revenues less our total cost of revenues, and our gross margin is our gross profit expressed as a percentage of total revenue. Subject to quarterly fluctuations and volatility, we expect unit costs to decline as we manufacture higher unit volumes of sensors and a greater portion of our sensors are produced by our contract manufacturers in Thailand.</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(“R&amp;D”) activities are primarily conducted at our San Francisco based headquarters and our additional R&amp;D facilities in Scotland and Canada and consist of the following activities: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Design, prototyping, and testing of proprietary electrical, optical, and mechanical subsystems for our digital lidar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Robust testing for industrial and autonomous vehicle safety certifications;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Development of new products and enhancements to existing products in response to customer requirements including firmware development and software development of lidar integration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Custom system-on-a-chip (“SoC”) design for Ouster’s digital lidar products;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Development of custom manufacturing equipment.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 consist of personnel-related expenses, including salaries, benefits, and stock-based compensation, for all personnel directly involved in R&amp;D activities, third-party engineering and contractor costs, prototype expenses, amortization of intangible assets, and an allocation of shared overhead costs including facilities, utilities and IT-related costs that support R&amp;D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 costs are expensed as they are incurred. Our investment in R&amp;D will continue to grow as we invest in new lidar technology and related software. Our absolute amount of R&amp;D expenses is expected to grow over time; however, we expect R&amp;D as a percentage of revenue to decrease over time as our business grows.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development, customer support and marketing teams are located in offices worldwide. Selling and marketing expenses consist of personnel-related expenses, including salaries, benefits, and stock-based compensation, for all personnel directly involved in business development, customer support, and marketing activities, and marketing expenses including trade shows, advertising, and demonstration equipment. Sales and marketing expenses also include amortization expense of intangible assets related to customer relationships associated with the acquisitions. We have experienced additional sales and marketing expenses as a result of our global expansion, and expect sales and marketing spend as a percentage of revenue to decrease over time as our business grows.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of personnel-related expenses, including salaries, benefits, and stock-based compensation, of our executives and members of the board of directors, finance, human resources, an allocation of shared overhead costs including facilities, utilities and IT-related costs that support general and administrative activities, as well as amortization of intangible assets, fees related to legal fees, patent prosecution, accounting, finance and professional services, as well as insurance and bank fees. Our absolute amount of general and administrative expenses will grow over time; however, we expect the general and administrative spend as a percentage of revenue to decrease over time as our business grows. We have experienced and may in the near-term experience additional increases in general and administrative expenses related to legal, accounting, finance and professional services costs associated with the Velodyne Merger, litigation activities, hiring more personnel and consultants to support our growing international expansion and compliance with the applicable provisions of the Sarbanes-Oxley Act (“SOX”) and other SEC rules and regulations as a result of being a public company.</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 Impairment Charges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year ended December 31, 2023, we recorded goodwill impairment charges of $166.7 million. These charges were primarily driven by the decrease in the Company’s market capitalization during the period. Our goodwill impairment analysis includes a comparison of the aggregate estimated fair value of our reporting unit to our total market capitalization. There were no goodwill impairment charges during the year ended December 31, 2022. As of December 31, 2023, our remaining goodwill balance was nil.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Interest Income, Interest Expense, and Other Income (Expense),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primarily of income earned on our cash and cash equivalents and short-term investments. These amounts will vary based on our respective balances and market rates. Interest expense consists primarily of interest on our debt, amortization of debt issuance costs and discounts, fees paid on refinancing and loss on debt extinguishment from our former credit line with Hercules. Other income (expense), net consists primarily of realized and unrealized gains and losses on foreign currency transactions and balances, realized gains and losses related to sales of our available-for-sale investments, the change in fair value of the private placement warrant liability.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income tax provision consists of federal, state and foreign current and deferred income taxes. Our income tax provision for interim periods is determined using an estimate of our annual effective tax rate, adjusted for discrete items arising in the quarter. Our effective tax rate differs from the U.S. statutory tax rate primarily due to valuation allowances on deferred tax assets as it is more likely than not that some, or all, of our deferred tax assets will not be realized. We continue to maintain a full valuation allowance against our U.S. Federal and state deferred tax assets, excluding specific balances due to the Velodyne Merger. Income tax provision for the years ended December 31, 2023 and 2022, respectively, was not material to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key components of our results of operations for the years ended December 31, 2023 and 2022:</w:t>
      </w:r>
    </w:p>
    <w:tbl>
      <w:tblPr>
        <w:tblW w:w="5649" w:type="dxa"/>
        <w:jc w:val="left"/>
        <w:tblInd w:w="0" w:type="dxa"/>
        <w:tblLayout w:type="fixed"/>
        <w:tblCellMar>
          <w:top w:w="28" w:type="dxa"/>
          <w:left w:w="28" w:type="dxa"/>
          <w:bottom w:w="28" w:type="dxa"/>
          <w:right w:w="28" w:type="dxa"/>
        </w:tblCellMar>
      </w:tblPr>
      <w:tblGrid>
        <w:gridCol w:w="1025"/>
        <w:gridCol w:w="903"/>
        <w:gridCol w:w="907"/>
        <w:gridCol w:w="211"/>
        <w:gridCol w:w="901"/>
        <w:gridCol w:w="109"/>
        <w:gridCol w:w="109"/>
        <w:gridCol w:w="109"/>
        <w:gridCol w:w="109"/>
        <w:gridCol w:w="211"/>
        <w:gridCol w:w="901"/>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(1)</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expenses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(145,423)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(138,560)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our consolidated statements of operations and comprehensive loss data as a percentage of revenue for the periods presented:</w:t>
      </w:r>
    </w:p>
    <w:tbl>
      <w:tblPr>
        <w:tblW w:w="5293" w:type="dxa"/>
        <w:jc w:val="left"/>
        <w:tblInd w:w="0" w:type="dxa"/>
        <w:tblLayout w:type="fixed"/>
        <w:tblCellMar>
          <w:top w:w="28" w:type="dxa"/>
          <w:left w:w="28" w:type="dxa"/>
          <w:bottom w:w="28" w:type="dxa"/>
          <w:right w:w="28" w:type="dxa"/>
        </w:tblCellMar>
      </w:tblPr>
      <w:tblGrid>
        <w:gridCol w:w="1025"/>
        <w:gridCol w:w="903"/>
        <w:gridCol w:w="907"/>
        <w:gridCol w:w="269"/>
        <w:gridCol w:w="271"/>
        <w:gridCol w:w="409"/>
        <w:gridCol w:w="164"/>
        <w:gridCol w:w="164"/>
        <w:gridCol w:w="164"/>
        <w:gridCol w:w="269"/>
        <w:gridCol w:w="271"/>
        <w:gridCol w:w="477"/>
      </w:tblGrid>
      <w:tr>
        <w:trPr/>
        <w:tc>
          <w:tcPr>
            <w:tcW w:w="102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of total revenue)</w:t>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(1)</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expenses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 expense</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stock-based compensation expense as follows:</w:t>
      </w:r>
    </w:p>
    <w:tbl>
      <w:tblPr>
        <w:tblW w:w="5198" w:type="dxa"/>
        <w:jc w:val="left"/>
        <w:tblInd w:w="0" w:type="dxa"/>
        <w:tblLayout w:type="fixed"/>
        <w:tblCellMar>
          <w:top w:w="28" w:type="dxa"/>
          <w:left w:w="28" w:type="dxa"/>
          <w:bottom w:w="28" w:type="dxa"/>
          <w:right w:w="28" w:type="dxa"/>
        </w:tblCellMar>
      </w:tblPr>
      <w:tblGrid>
        <w:gridCol w:w="992"/>
        <w:gridCol w:w="874"/>
        <w:gridCol w:w="878"/>
        <w:gridCol w:w="211"/>
        <w:gridCol w:w="721"/>
        <w:gridCol w:w="109"/>
        <w:gridCol w:w="109"/>
        <w:gridCol w:w="109"/>
        <w:gridCol w:w="109"/>
        <w:gridCol w:w="211"/>
        <w:gridCol w:w="721"/>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Comparison of the years ended December 31, 2023 and 2022</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tbl>
      <w:tblPr>
        <w:tblW w:w="7721" w:type="dxa"/>
        <w:jc w:val="left"/>
        <w:tblInd w:w="0" w:type="dxa"/>
        <w:tblLayout w:type="fixed"/>
        <w:tblCellMar>
          <w:top w:w="28" w:type="dxa"/>
          <w:left w:w="28" w:type="dxa"/>
          <w:bottom w:w="28" w:type="dxa"/>
          <w:right w:w="28" w:type="dxa"/>
        </w:tblCellMar>
      </w:tblPr>
      <w:tblGrid>
        <w:gridCol w:w="1026"/>
        <w:gridCol w:w="903"/>
        <w:gridCol w:w="90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3"/>
        <w:gridCol w:w="233"/>
        <w:gridCol w:w="316"/>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2023 - 2022 Change</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by geographic location: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36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Revenue</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Revenue increased by $42.3 million, or 103%, to $83.3 million for the year ended December 31, 2023 from $41.0 million for the prior year. The increase in revenue was driven by higher volume that was primarily due to the Velodyne Merger, which contributed $29.0 million of revenue in 2023. In addition, the Company realized higher revenues relating to sales of our OS sensors.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Geographic Locations</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Revenue</w:t>
      </w:r>
      <w:r>
        <w:rPr>
          <w:color w:val="000000"/>
        </w:rPr>
        <w:t xml:space="preserve"> </w:t>
      </w:r>
      <w:r>
        <w:rPr>
          <w:rFonts w:ascii="Times New Roman;sans-serif" w:hAnsi="Times New Roman;sans-serif"/>
          <w:b w:val="false"/>
          <w:color w:val="000000"/>
          <w:sz w:val="20"/>
        </w:rPr>
        <w:t>increased across the geographic regions of the Americas, Asia-Pacific, and Europe, Middle East and Africa as compared to the comparable period in the prior year. The revenue increases in those geographic regions were primarily attributable to the Velodyne Merger, our focus and investment in our global sales team and increased demand for our OS sensors during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 and Gross Margin</w:t>
      </w:r>
    </w:p>
    <w:tbl>
      <w:tblPr>
        <w:tblW w:w="6280" w:type="dxa"/>
        <w:jc w:val="left"/>
        <w:tblInd w:w="0" w:type="dxa"/>
        <w:tblLayout w:type="fixed"/>
        <w:tblCellMar>
          <w:top w:w="28" w:type="dxa"/>
          <w:left w:w="28" w:type="dxa"/>
          <w:bottom w:w="28" w:type="dxa"/>
          <w:right w:w="28" w:type="dxa"/>
        </w:tblCellMar>
      </w:tblPr>
      <w:tblGrid>
        <w:gridCol w:w="504"/>
        <w:gridCol w:w="444"/>
        <w:gridCol w:w="44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3"/>
        <w:gridCol w:w="233"/>
        <w:gridCol w:w="316"/>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2023 - 2022 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 and Gross Margin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by $44.9 million, or 149%, to $75.0 million for the year ended December 31, 2023 from $30.1 million for the prior year. The increase in cost of revenue was primarily attributable to the Velodyne Merger. In addition, the Company recognized $10.0 million in inventory write downs primarily related to canceling certain Velodyne products and transitioning to the REV7 sensors. In addition, we had higher costs due to higher OS product revenues in the year ended December 31,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fell to 10% for the year ended December 31, 2023 from 27% in the prior year primarily as a result of the factors described above related to the Velodyne Merger.</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bl>
      <w:tblPr>
        <w:tblW w:w="7720" w:type="dxa"/>
        <w:jc w:val="left"/>
        <w:tblInd w:w="0" w:type="dxa"/>
        <w:tblLayout w:type="fixed"/>
        <w:tblCellMar>
          <w:top w:w="28" w:type="dxa"/>
          <w:left w:w="28" w:type="dxa"/>
          <w:bottom w:w="28" w:type="dxa"/>
          <w:right w:w="28" w:type="dxa"/>
        </w:tblCellMar>
      </w:tblPr>
      <w:tblGrid>
        <w:gridCol w:w="912"/>
        <w:gridCol w:w="802"/>
        <w:gridCol w:w="80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2"/>
        <w:gridCol w:w="234"/>
        <w:gridCol w:w="316"/>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2023 - 2022 Change</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$26.9 million, or 42%, to $91.2 million for the year ended December 31, 2023 from $64.3 million in the prior year. The increase was primarily attributable to the Velodyne Merger, which increased headcount-related expenses including stock based compensation by $19.0 million in 2023.</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by $10.8 million, or 35%, to $41.6 million for the year ended December 31, 2023 from $30.8 million in the prior year. The increase was primarily attributable to the Velodyne Merger, which increased headcount-related expenses including stock based compensation by $8.1 million in 2023.</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$20.8 million, or 34%, to $82.0 million for the year ended December 31, 2023 from $61.2 million in the prior year. The increase was primarily attributable to the Velodyne Merger, which increased headcount-related expenses including stock based compensation and litigation related costs by $29.6 million.</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 Impairment Charges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 were $166.7 million for the year ended December 31, 2023 and related to the reasons described above under “Goodwill impairment charges.” There were no goodwill impairment charges during the year ended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Interest Income, Interest Expense and Other Income (Expense), Net</w:t>
      </w:r>
    </w:p>
    <w:tbl>
      <w:tblPr>
        <w:tblW w:w="7030" w:type="dxa"/>
        <w:jc w:val="left"/>
        <w:tblInd w:w="0" w:type="dxa"/>
        <w:tblLayout w:type="fixed"/>
        <w:tblCellMar>
          <w:top w:w="28" w:type="dxa"/>
          <w:left w:w="28" w:type="dxa"/>
          <w:bottom w:w="28" w:type="dxa"/>
          <w:right w:w="28" w:type="dxa"/>
        </w:tblCellMar>
      </w:tblPr>
      <w:tblGrid>
        <w:gridCol w:w="864"/>
        <w:gridCol w:w="757"/>
        <w:gridCol w:w="76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69"/>
        <w:gridCol w:w="271"/>
        <w:gridCol w:w="316"/>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2023 - 2022 Change</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was $9.0 million for the year ended December 31, 2023 compared to $2.2 million for the prior year. The increase in interest income was primarily attributable to a higher average cash and cash equivalent balance driven by additions from the Velodyne Merger transaction and higher interest rates earned on held balances.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was $9.3 million for the year ended December 31, 2023 compared to $2.7 million for the prior year. We utilized proceeds from a revolving credit line with UBS to prepay and terminate our existing term loan with Hercules. We recognized a loss of extinguishment of debt of $3.6 million and recorded it is interest expense, along with amortization of debt issuance costs and discount in the year ended December 31, 2023. Interest expense recorded in the year ended December 31, 2022 primarily consisted of interest and amortization of debt issuance cost and discount on the Loan and Security Agreement with Hercules Capital, Inc. and interest expense on the Revolving Credit Line Agreement with UBS Bank USA and UBS Financial Services Inc.</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was $(0.1) million for the year ended December 31, 2023 compared to $7.7 million for the prior year. Other income (expense) included the fair value change of private placement warrant liability and was not material during the year ended December 31, 2023. During the year ended December 31, 2022, we recorded a gain of $7.4 million for the fair value change of private placement warrant liability.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tbl>
      <w:tblPr>
        <w:tblW w:w="9005" w:type="dxa"/>
        <w:jc w:val="left"/>
        <w:tblInd w:w="0" w:type="dxa"/>
        <w:tblLayout w:type="fixed"/>
        <w:tblCellMar>
          <w:top w:w="28" w:type="dxa"/>
          <w:left w:w="28" w:type="dxa"/>
          <w:bottom w:w="28" w:type="dxa"/>
          <w:right w:w="28" w:type="dxa"/>
        </w:tblCellMar>
      </w:tblPr>
      <w:tblGrid>
        <w:gridCol w:w="1021"/>
        <w:gridCol w:w="895"/>
        <w:gridCol w:w="903"/>
        <w:gridCol w:w="211"/>
        <w:gridCol w:w="901"/>
        <w:gridCol w:w="271"/>
        <w:gridCol w:w="109"/>
        <w:gridCol w:w="109"/>
        <w:gridCol w:w="109"/>
        <w:gridCol w:w="211"/>
        <w:gridCol w:w="901"/>
        <w:gridCol w:w="271"/>
        <w:gridCol w:w="109"/>
        <w:gridCol w:w="109"/>
        <w:gridCol w:w="109"/>
        <w:gridCol w:w="211"/>
        <w:gridCol w:w="901"/>
        <w:gridCol w:w="109"/>
        <w:gridCol w:w="109"/>
        <w:gridCol w:w="109"/>
        <w:gridCol w:w="109"/>
        <w:gridCol w:w="233"/>
        <w:gridCol w:w="233"/>
        <w:gridCol w:w="271"/>
        <w:gridCol w:w="109"/>
        <w:gridCol w:w="109"/>
        <w:gridCol w:w="109"/>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2023 - 2022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(373,587)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(138,255)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effective tax rate was (0.14)% for the year ended December 31, 2023 compared to our effective tax rate of (0.22)% for the prior year. Our tax expense changed by $0.2 million during the year ended December 31, 2023, compared to the prior year, primarily due to withholding taxes in the United States and income tax expense from profitable foreign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are our cash and cash equivalents and short-term investments, cash generated from product revenues, sales of common stock under our at-the market equity offering program and proceeds from debt financing.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requirements for liquidity and capital are working capital, inventory management, capital expenditures, public company costs and general corporate needs. We expect these needs to continue as we develop and grow our business.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an accumulated deficit of $816.0 million and cash, cash equivalents, restricted cash and short-term investments of approximately $191.8 million. Management believes that our existing sources of liquidity will be adequate to fund our operations for at least twelve months from the date of this Annual Report on Form 10-K. However, we may need to raise additional capital in the future to support our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manage our cash and cash equivalents with financial institutions that we believe have high credit quality and, at times, such amounts exceed federally insured limits. The failure of any bank with which we maintain a commercial relationship could cause us to lose our deposits in excess of the federally insured or protected amounts. We have experienced recurring losses from operations, and negative cash flows from operations, and we expect to continue operating at a loss and to have negative cash flows from operations for the foreseeable future. Because we are in the growth stage of our business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operate in an emerging field of technology, we expect to continue to invest in research and development and expand our sales and marketing teams worldwide. We may require additional capital to respond to technological advancements, competitive dynamics or technologies, customer demands, business opportunities, challenges, acquisitions or unforeseen circumstances and in either the short-term or long-term may determine to engage in equity or debt financings or enter into credit facilities for other reasons. If we are unable to obtain adequate financing or financing on terms satisfactory to us, when we require it, our ability to continue to grow or support our business and to respond to business challenges could be significantly limited. In particular, current macroeconomic conditions, including elevated inflation rates and high interest rates, have resulted in, and may continue to result in, significant disruption of global financial markets, reducing our ability to access capital. If we are unable to raise additional funds when or on the terms desired, our business, financial condition and results of operations could be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ATM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29, 2022, we entered into an open market sale agreement with B. Riley Securities, Inc., Cantor Fitzgerald &amp; Co. and Oppenheimer &amp; Co. Inc. (the “ATM Agreement”), pursuant to which we may offer and sell shares of our common stock with an aggregate offering price of up to $150.0 million under an “at the market” offering program. Subject to the terms and conditions of the agreement, we may sell the shares in amounts and at times to be determined by us but we are under no obligation to sell any of the shares. Actual sales, if any, will depend on a variety of factors to be determined by us from time to time, including, among other things, market conditions, the trading price of our common stock, capital needs and determinations by us of the appropriate sources of funding. During the year ended December 31, 2022, we sold 783,371 shares of common stock for net proceeds of $15.8 million under the ATM Agreement, and during the year ended December 31, 2023, we sold 2,878,875 shares of common stock for net proceeds of $32.2 million. We currently intend to use the net proceeds from the sale of shares pursuant to the ATM Agreement for working capital and general corporate purposes.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Debt Arrangements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29, 2022, we entered into the Loan Agreement with Hercules, which provided us with a term loan facility of up to $50.0 million, subject to terms and conditions (the “Term Loan Facility”). As of December 31, 2022, $40.0 million had been drawn under the Term Loan Facility, and could be used for general working capital purposes subject to certain terms and conditions. On October 25, 2023, the Company entered into the Credit Line Account Application and Agreement for Organizations and Businesses (the “Credit Agreement”) and the Addendum to Credit Line Account Application and Agreement (the “Addendum”; and the Credit Agreement as amended, modified, and/or supplemented by the Addendum, the “UBS Agreement”) by and among the Company, UBS Bank USA (the “Bank”), and UBS Financial Services Inc. The facility under the UBS Agreement matures and terminates on August 2, 2025 (the “Maturity Date”). </w:t>
      </w:r>
    </w:p>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UBS Agreement provides us with a revolving credit line of up to $45.0 million, subject to certain terms and conditions. We initially borrowed $44.0 million, and all of the proceeds were used to prepay and terminate our Term Loan Facility with Hercules on October 25, 2023. We recognized a loss on extinguishment of debt of $3.6 million and recorded it as interest expense in its consolidated statements of operations and comprehensive loss.</w:t>
      </w:r>
    </w:p>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UBS Agreement, we have agreed to maintain minimum liquidity, comprised of unencumbered cash and cash equivalents, U.S. treasuries and other assets acceptable to the Bank, of $52.0 million in an account maintained with the Bank or its affiliates at all times. The facility under the UBS Agreement is secured by our assets in securities accounts and any other accounts maintained with the Bank or its affiliates, and any supporting obligations, general intangibles and other rights ancillary or attributable to such assets, subject to customary exceptions.</w:t>
      </w:r>
    </w:p>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Loans under the UBS Agreement bear interest at a rate equal to (x) for variable rate loans, the sum of (i) the applicable SOFR average plus 0.110%, plus (ii) 1.20%, and (y) for fixed rate loans, the sum of either (1) CME Term Rate or (2) the U.S. Treasury Rate, as applicable and as defined in the UBS Agreement, as determined based on the duration of the advance, plus the applicable liquidity premium with a range of 0.15% to 0.50%, as set forth in the UBS Agreement. Interest payments are due (x) for variable rate loans, on the last day of each calendar month, and on each date that any portion of the principal amount is due, including on the Maturity Date, and (y) for fixed rate loans, on the last day of the applicable interest period, and on each date that any portion of the principal amount is due, including on the Maturity Date. We may repay any variable rate loans at any time in whole or in part, without penalty. We may repay any fixed rate loans in whole, but not in part, subject to certain breakage costs.</w:t>
      </w:r>
    </w:p>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have agreed to pay an unused line fee in an amount equal to (i) the commitment amount of $45.0 million less the average daily balance of the sum of the principal amount of the obligations outstanding during the preceding calendar quarter, multiplied by (ii) 0.50% per annum, and such unused line fee is payable quarterly in arrears on the last day of each calendar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UBS Agreement also contains affirmative and negative covenants customary for a credit line of this type, including requirements for maintenance of the collateral accounts and certain limitations on withdrawal of cash from such collateral accounts. The UBS Agreement also provides for customary events of default, including, among others, non-payment, failure to maintain an amount equal to the greater of (x) the outstanding loans and (y) the collateral value as determined by the Bank, in the securities accounts maintained with the Bank, bankruptcy, or breach of a covenant, representation and warranty.</w:t>
      </w:r>
    </w:p>
    <w:p>
      <w:pPr>
        <w:pStyle w:val="TextBody"/>
        <w:bidi w:val="0"/>
        <w:spacing w:lineRule="auto" w:line="288" w:before="120" w:after="120"/>
        <w:jc w:val="left"/>
        <w:rPr/>
      </w:pPr>
      <w:r>
        <w:rPr>
          <w:rFonts w:ascii="Times New Roman;sans-serif" w:hAnsi="Times New Roman;sans-serif"/>
          <w:b w:val="false"/>
          <w:color w:val="000000"/>
          <w:sz w:val="20"/>
        </w:rPr>
        <w:t>For additional information regarding the terms of the UBS Agreement, see Note 6. Debt</w:t>
      </w:r>
      <w:r>
        <w:rPr>
          <w:color w:val="000000"/>
          <w:shd w:fill="FFFFFF" w:val="clear"/>
        </w:rPr>
        <w:t xml:space="preserve"> </w:t>
      </w:r>
      <w:r>
        <w:rPr>
          <w:rFonts w:ascii="Times New Roman;sans-serif" w:hAnsi="Times New Roman;sans-serif"/>
          <w:b w:val="false"/>
          <w:color w:val="000000"/>
          <w:sz w:val="20"/>
          <w:shd w:fill="FFFFFF" w:val="clear"/>
        </w:rPr>
        <w:t>to our consolidated financial statements included in Part II, Item 8 of this Annual Report on Form 10-K</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Material Cash Requirements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 party to many contractual obligations involving commitments to make payments to third parties. These obligations impact our short-term and long-term liquidity and capital resource needs. Certain contractual obligations are reflected on the consolidated balance sheet as of December 31, 2023, while others are considered future commitments. Our contractual obligations primarily consist of non-cancelable purchase commitments with various parties to purchase goods or services, primarily inventory, entered into in the normal course of business and operating leases. For information regarding our other contractual obligations, refer to Note 8. Leases and Note 9. Commitments and Contingencies.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Cash Flow Summary</w:t>
      </w:r>
    </w:p>
    <w:tbl>
      <w:tblPr>
        <w:tblW w:w="5468" w:type="dxa"/>
        <w:jc w:val="left"/>
        <w:tblInd w:w="0" w:type="dxa"/>
        <w:tblLayout w:type="fixed"/>
        <w:tblCellMar>
          <w:top w:w="28" w:type="dxa"/>
          <w:left w:w="28" w:type="dxa"/>
          <w:bottom w:w="28" w:type="dxa"/>
          <w:right w:w="28" w:type="dxa"/>
        </w:tblCellMar>
      </w:tblPr>
      <w:tblGrid>
        <w:gridCol w:w="961"/>
        <w:gridCol w:w="843"/>
        <w:gridCol w:w="850"/>
        <w:gridCol w:w="211"/>
        <w:gridCol w:w="901"/>
        <w:gridCol w:w="109"/>
        <w:gridCol w:w="109"/>
        <w:gridCol w:w="109"/>
        <w:gridCol w:w="109"/>
        <w:gridCol w:w="211"/>
        <w:gridCol w:w="90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Operating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operating activities used $137.9 million in cash. The primary factors affecting our operating cash flows during this period were our net loss of $374.1 million, impacted by our non-cash charges of $257.7 million primarily consisting of inventory write-down of $10.0 million, interest expense and loss on extinguishment of debt of $4.0 million, goodwill impairment charges of $166.7 million, depreciation and amortization of $17.1 million, stock-based compensation of $57.7 million, loss on write-off of construction in-progress and right-of-use asset impairment of $1.7 million, and amortization of right-of-use asset of $4.5 million. The cash used in changes in our operating assets and liabilities of $21.5 million was primarily due to an increase in inventories of $4.0 million, a decrease in accounts payable of $8.5 million, an increase in accrued and other liabilities of $8.1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operating activities used $110.7 million in cash. The primary factors affecting our operating cash flows during this period were our net loss of $138.6 million, impacted by our non-cash charges of $41.4 million primarily consisting of depreciation and amortization of  $9.5 million, stock-based compensation of $33.3 million, change in right-of-use asset of $2.7 million, interest expense and amortization of debt issuance costs and debt discount of $1.0 million, a $7.4 million change in fair value of warrant liabilities, inventory write down of $1.6 million allowance for expected credit losses of $0.3 million and loss from disposal of property and equipment of $0.4 million. The cash used in changes in our operating assets and liabilities of $13.5 million was primarily due to an increase in accounts receivable of $0.9 million, an increase in inventories of $13.7 million, an increase in prepaid expenses and other assets of $3.1 million, an increase in accounts payable of $4.2 million, an increase in accrued and other liabilities of $3.2 million and a decrease in operating lease liability of $3.2 million.</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cash used in investing activities was $50.6 million, which was attributed primarily to the Velodyne Merger and proceeds and purchases of short-term investments.</w:t>
      </w:r>
    </w:p>
    <w:p>
      <w:pPr>
        <w:pStyle w:val="TextBody"/>
        <w:bidi w:val="0"/>
        <w:spacing w:lineRule="auto" w:line="288" w:before="120" w:after="283"/>
        <w:jc w:val="left"/>
        <w:rPr/>
      </w:pPr>
      <w:r>
        <w:rPr>
          <w:rFonts w:ascii="Times New Roman;sans-serif" w:hAnsi="Times New Roman;sans-serif"/>
          <w:b w:val="false"/>
          <w:color w:val="000000"/>
          <w:sz w:val="20"/>
        </w:rPr>
        <w:t>During the year ended December 31, 2022, cash used in investing activities was $5.1 million, which was primarily related to purchases of property, plant and equipment of $5.4 million, partially offset by sales of property and equipment of $0.3 million</w:t>
      </w:r>
      <w:r>
        <w:rPr>
          <w:rFonts w:ascii="Times New Roman;sans-serif" w:hAnsi="Times New Roman;sans-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36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Financing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cash provided by financing activities was $15.7 million, consisting primarily of $14.6 million of proceeds from the issuance of common stock under the ATM Agreement and proceeds from employee stock purchase program of $1.2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cash provided by financing activities was $55.6 million, consisting primarily of $39.1 million of proceeds from borrowings, net of debt discount and issuance costs, $16.3 million of proceeds from the issuance of common stock under the ATM Agreement, net of commissions and fees, proceeds from exercise of stock options of $0.5 million and proceeds from ESPP purchase of $0.4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prepare our consolidated financial statements in accordance with U.S. GAAP. The preparation of these consolidated financial statements requires us to make estimates, assumptions and judgments that can significantly impact the amounts we report as assets, liabilities, revenue, costs and expenses and the related disclosures. We base our estimates on historical experience and other assumptions that we believe are reasonable under the circumstances. Our actual results could differ significantly from these estimates under different assumptions and conditions. We believe that the accounting policies discussed below are critical to understanding our historical and future performance as these policies involve a greater degree of judgment and complexity.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combinations are accounted for under the acquisition method. We recognize the assets acquired and liabilities assumed in business combinations on the basis of their fair values at the date of acquisition. We assess the fair value of assets acquired, including intangible assets, and liabilities assumed using a variety of methods. Each asset acquired and liability assumed is measured at fair value from the perspective of a market participant. The method used to estimate the fair values of intangible assets incorporates significant estimates and assumptions regarding the estimates a market participant would make in order to evaluate an asset, including a market participant’s use of the asset, future cash inflows and outflows, probabilities of success, asset lives, and the appropriate discount rates. Any excess purchase price over the fair value of the net tangible and intangible assets acquired is allocated to goodwill. Transaction costs and restructuring costs associated with a business combination are expensed as incurred.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measurement period, which extends no later than one year from the acquisition date, we may record certain adjustments to the carrying value of the assets acquired and liabilities assumed with the corresponding offset to goodwill. After the measurement period, all adjustments are recorded in the consolidated statements of operations within other income (expense), net.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recoverability of goodwill is evaluated annually or whenever events or changes in circumstances indicate that the fair value of the reporting unit is less than its carrying amount. The Company’s impairment evaluation of goodwill consists of a qualitative assessment to determine if it is more likely than not that the fair value of its single reporting unit is less than its carrying amount. The Company’s qualitative assessment considers factors including changes in the macroeconomic, industry and market conditions, a sustained share price or market capitalization decrease, and if there is any other specific event. If this qualitative assessment indicates it is more likely than not that the estimated fair value of a reporting unit exceeds its carrying value, no further analysis is required and goodwill is not impaired. Otherwise, we compare the estimated fair value of the asset to its carrying amount with an impairment loss recognized for the amount, if any, by which carrying value exceeds estimated fair value.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the Company performs the quantitative test for goodwill, fair values are determined using a combination of the discounted cash flow approach (“income approach”) and the guideline public company method (“market approach”). This approach requires the use of significant estimates and assumption including forecasted future cash flows, long-term future growth rates and discount rates. Estimating the fair value of reporting unit requires the use of estimates and significant judgments that are based on a number of factors including actual operating results. It is reasonably possible that the judgments and estimates described above could change in future periods.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Company’s goodwill impairment assessments for the year ended December 31, 2023, the Company impaired all of its goodwill.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Inventory Valuation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stated at the lower of cost or estimated net realizable value. Costs are computed under the standard cost method, which approximates actual costs determined on the first in, first out basis. We record write-downs of inventories which are obsolete or in excess of anticipated demand. Significant judgment is used in establishing our forecasts of future demand and obsolete material exposures. We consider marketability and product life cycle stage, product development plans, demand forecasts, and assumptions about future demand and market conditions in establishing our estimates. If the actual component usage and product demand are significantly lower than forecast, which may be caused by factors within and outside of our control, or if there were a higher incidence of inventory obsolescence because of rapidly changing technology and our customer requirements, we may be required to increase our inventory write-downs. A change in our estimates could have a significant impact on the value of our inventory and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foreign currency exchange rates and to a lesser extent, inflation risk. The following analysis provides quantitative and qualitative information regarding these risks.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Inflation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inflation in the U.S., Europe and other geographies has risen to levels not experienced in recent decades. General inflation, including rising prices for inputs and rising wages, as well as rising interest rates negatively impact our business by increasing our operating costs. General inflation also negatively impacts our business by decreasing the capital for our customers to deploy to purchase our products. Inflation may cause our customers to reduce or delay orders for our products thereby causing a decrease in sales. Increased instability relating to this higher inflation as well as rising interest rates may enhance volatility in currency exchange rates, limit our suppliers’ and customers’ access to credit and limit our ability to access debt and equity financing. These uncertainties may make it difficult for us and our suppliers and customers to accurately plan future business activities and materially adversely impact our operating results and financial condition. While we adjust our prices to try to offset rising operating costs, we may not be able to fully offset such higher costs or demand may decline. Our inability to offset costs or consequential decline in demand could harm our business, results of operations or financial condition. We do not believe that inflation has had a material effect on our business, financial condition, or results of operations, other than its impact on the general economy. We cannot assure you, however, that our results of operations and financial condition will not be materially impacted by inflation in the future.</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cash, cash equivalents, restricted cash and short-term investments of approximately $191.8 million, of which $7.4 million consisted of institutional money market funds, $83.6 million consisted of commercial paper, and $58.5 million consisted of corporate debt and U.S. government agency securities, all of which carries a degree of interest rate risk. The primary goals of our investment policy are liquidity and capital preservation. We do not enter into investments for trading or speculative purposes. These investments are subject to interest rate risk, as sharp increases in market interest rates could have an adverse impact on their fair value. Although the fair values of these instruments can fluctuate, we believe that the short-term, highly liquid nature of these investments, and our ability to hold these instruments to maturity, reduces our risk for potential material losses. A hypothetical 100 basis point change in interest rates would not have a material impact on our financial condition or results of operations due to the short-term nature of our investment portfolio.</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operating results are subject to risk from interest rate fluctuations on borrowings under our debt financing arrangements, which carry variable interest rates. Interest rate risk is the exposure to loss resulting from changes in the level of interest rates and the spread between different interest rates. Because our borrowings under our financing arrangements bear interest at variable rates, we are exposed to market risks relating to changes in interest rates. Interest rate risk is highly sensitive due to many factors, including U.S. monetary and tax policies, U.S. and international economic factors and other factors beyond our control. As of December 31, 2023, we had $44.0 million of variable rate debt outstanding under our UBS Agreement. Based upon a sensitivity analysis of our debt levels on December 31, 2023, an increase or decrease of 1% point in the effective interest rate under our UBS Agreement would cause an increase or decrease in interest expense of approximately $0.4 million over the next 12 months.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that interest payable on borrowings under the UBS Agreement will be substantially less than the interest payable on the term loan facility with Hercules Capital, Inc, and that the new Agreement will provide more operational flexibility.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and cash flows are subject to fluctuations due to changes in foreign currency exchange rates. Substantially all of our revenue is generated in U.S. dollars. Our expenses are generally denominated in the currencies of the jurisdictions in which we conduct our operations, which are primarily in the U.S. and to a lesser extent in Asia and Europe.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 rates applicable to our business would not have a material impact on our historical consolidated financial statements. To date, we have not engaged in any hedging strategies. As our international operations grow, we will continue to reassess our approach to manage our risk relating to fluctuations in currency rates. No strategy can completely insulate us from risks associated with such fluctuations and our currency exchange rate risk management activities could expose us to substantial losses if such rates move materially differently from our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OUSTER, INC.</w:t>
      </w:r>
    </w:p>
    <w:tbl>
      <w:tblPr>
        <w:tblW w:w="9821" w:type="dxa"/>
        <w:jc w:val="left"/>
        <w:tblInd w:w="0" w:type="dxa"/>
        <w:tblLayout w:type="fixed"/>
        <w:tblCellMar>
          <w:top w:w="28" w:type="dxa"/>
          <w:left w:w="28" w:type="dxa"/>
          <w:bottom w:w="28" w:type="dxa"/>
          <w:right w:w="28" w:type="dxa"/>
        </w:tblCellMar>
      </w:tblPr>
      <w:tblGrid>
        <w:gridCol w:w="3424"/>
        <w:gridCol w:w="3008"/>
        <w:gridCol w:w="3017"/>
        <w:gridCol w:w="109"/>
        <w:gridCol w:w="109"/>
        <w:gridCol w:w="154"/>
      </w:tblGrid>
      <w:tr>
        <w:trPr/>
        <w:tc>
          <w:tcPr>
            <w:tcW w:w="3424" w:type="dxa"/>
            <w:tcBorders/>
            <w:vAlign w:val="center"/>
          </w:tcPr>
          <w:p>
            <w:pPr>
              <w:pStyle w:val="TableContents"/>
              <w:bidi w:val="0"/>
              <w:spacing w:before="0" w:after="283"/>
              <w:jc w:val="left"/>
              <w:rPr>
                <w:sz w:val="4"/>
                <w:szCs w:val="4"/>
              </w:rPr>
            </w:pPr>
            <w:r>
              <w:rPr>
                <w:sz w:val="4"/>
                <w:szCs w:val="4"/>
              </w:rPr>
            </w:r>
          </w:p>
        </w:tc>
        <w:tc>
          <w:tcPr>
            <w:tcW w:w="3008" w:type="dxa"/>
            <w:tcBorders/>
            <w:vAlign w:val="center"/>
          </w:tcPr>
          <w:p>
            <w:pPr>
              <w:pStyle w:val="TableContents"/>
              <w:bidi w:val="0"/>
              <w:spacing w:before="0" w:after="283"/>
              <w:jc w:val="left"/>
              <w:rPr>
                <w:sz w:val="4"/>
                <w:szCs w:val="4"/>
              </w:rPr>
            </w:pPr>
            <w:r>
              <w:rPr>
                <w:sz w:val="4"/>
                <w:szCs w:val="4"/>
              </w:rPr>
            </w:r>
          </w:p>
        </w:tc>
        <w:tc>
          <w:tcPr>
            <w:tcW w:w="3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Consolidated Financial Statements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73">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 xml:space="preserve">PCAOB ID </w:t>
            </w:r>
            <w:r>
              <w:rPr>
                <w:rFonts w:ascii="Times New Roman;sans-serif" w:hAnsi="Times New Roman;sans-serif"/>
                <w:b w:val="false"/>
                <w:color w:val="000000"/>
                <w:sz w:val="20"/>
              </w:rPr>
              <w:t>238)</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d5dc8e3d79d422bb773229d757a9969_73">
              <w:r>
                <w:rPr>
                  <w:rStyle w:val="InternetLink"/>
                  <w:rFonts w:ascii="Times New Roman;sans-serif" w:hAnsi="Times New Roman;sans-serif"/>
                  <w:b w:val="false"/>
                  <w:strike w:val="false"/>
                  <w:dstrike w:val="false"/>
                  <w:color w:val="000000"/>
                  <w:sz w:val="20"/>
                  <w:u w:val="none"/>
                  <w:effect w:val="none"/>
                </w:rPr>
                <w:t>63</w:t>
              </w:r>
            </w:hyperlink>
          </w:p>
        </w:tc>
      </w:tr>
      <w:tr>
        <w:trPr/>
        <w:tc>
          <w:tcPr>
            <w:tcW w:w="94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76">
              <w:r>
                <w:rPr>
                  <w:rStyle w:val="InternetLink"/>
                  <w:rFonts w:ascii="Times New Roman;sans-serif" w:hAnsi="Times New Roman;sans-serif"/>
                  <w:b w:val="false"/>
                  <w:color w:val="0000FF"/>
                  <w:sz w:val="20"/>
                  <w:u w:val="single"/>
                </w:rPr>
                <w:t>Consolidated Balance Sheets as of December 31, 2023 and 2022</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d5dc8e3d79d422bb773229d757a9969_76">
              <w:r>
                <w:rPr>
                  <w:rStyle w:val="InternetLink"/>
                  <w:rFonts w:ascii="Times New Roman;sans-serif" w:hAnsi="Times New Roman;sans-serif"/>
                  <w:b w:val="false"/>
                  <w:strike w:val="false"/>
                  <w:dstrike w:val="false"/>
                  <w:color w:val="000000"/>
                  <w:sz w:val="20"/>
                  <w:u w:val="none"/>
                  <w:effect w:val="none"/>
                </w:rPr>
                <w:t>65</w:t>
              </w:r>
            </w:hyperlink>
          </w:p>
        </w:tc>
      </w:tr>
      <w:tr>
        <w:trPr/>
        <w:tc>
          <w:tcPr>
            <w:tcW w:w="94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79">
              <w:r>
                <w:rPr>
                  <w:rStyle w:val="InternetLink"/>
                  <w:rFonts w:ascii="Times New Roman;sans-serif" w:hAnsi="Times New Roman;sans-serif"/>
                  <w:b w:val="false"/>
                  <w:color w:val="0000FF"/>
                  <w:sz w:val="20"/>
                  <w:u w:val="single"/>
                </w:rPr>
                <w:t>Consolidated Statements of Operations and Comprehensive Loss for the Years Ended December 31, 2023</w:t>
              </w:r>
            </w:hyperlink>
            <w:r>
              <w:rPr>
                <w:color w:val="000000"/>
              </w:rPr>
              <w:t xml:space="preserve"> </w:t>
            </w:r>
            <w:hyperlink w:anchor="i2d5dc8e3d79d422bb773229d757a9969_79">
              <w:r>
                <w:rPr>
                  <w:rStyle w:val="InternetLink"/>
                  <w:rFonts w:ascii="Times New Roman;sans-serif" w:hAnsi="Times New Roman;sans-serif"/>
                  <w:b w:val="false"/>
                  <w:color w:val="0000FF"/>
                  <w:sz w:val="20"/>
                  <w:u w:val="single"/>
                </w:rPr>
                <w:t>and 2022</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d5dc8e3d79d422bb773229d757a9969_79">
              <w:r>
                <w:rPr>
                  <w:rStyle w:val="InternetLink"/>
                  <w:rFonts w:ascii="Times New Roman;sans-serif" w:hAnsi="Times New Roman;sans-serif"/>
                  <w:b w:val="false"/>
                  <w:strike w:val="false"/>
                  <w:dstrike w:val="false"/>
                  <w:color w:val="000000"/>
                  <w:sz w:val="20"/>
                  <w:u w:val="none"/>
                  <w:effect w:val="none"/>
                </w:rPr>
                <w:t>66</w:t>
              </w:r>
            </w:hyperlink>
          </w:p>
        </w:tc>
      </w:tr>
      <w:tr>
        <w:trPr/>
        <w:tc>
          <w:tcPr>
            <w:tcW w:w="94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2d5dc8e3d79d422bb773229d757a9969_82">
              <w:r>
                <w:rPr>
                  <w:rStyle w:val="InternetLink"/>
                  <w:rFonts w:ascii="Times New Roman;sans-serif" w:hAnsi="Times New Roman;sans-serif"/>
                  <w:b w:val="false"/>
                  <w:color w:val="0000FF"/>
                  <w:sz w:val="20"/>
                  <w:u w:val="single"/>
                </w:rPr>
                <w:t>Consolidated Statements of Stockholders’ Equity for the Years Ended December 31, 2023 and 2022</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d5dc8e3d79d422bb773229d757a9969_82">
              <w:r>
                <w:rPr>
                  <w:rStyle w:val="InternetLink"/>
                  <w:rFonts w:ascii="Times New Roman;sans-serif" w:hAnsi="Times New Roman;sans-serif"/>
                  <w:b w:val="false"/>
                  <w:strike w:val="false"/>
                  <w:dstrike w:val="false"/>
                  <w:color w:val="000000"/>
                  <w:sz w:val="20"/>
                  <w:u w:val="none"/>
                  <w:effect w:val="none"/>
                </w:rPr>
                <w:t>67</w:t>
              </w:r>
            </w:hyperlink>
          </w:p>
        </w:tc>
      </w:tr>
      <w:tr>
        <w:trPr/>
        <w:tc>
          <w:tcPr>
            <w:tcW w:w="94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85">
              <w:r>
                <w:rPr>
                  <w:rStyle w:val="InternetLink"/>
                  <w:rFonts w:ascii="Times New Roman;sans-serif" w:hAnsi="Times New Roman;sans-serif"/>
                  <w:b w:val="false"/>
                  <w:color w:val="0000FF"/>
                  <w:sz w:val="20"/>
                  <w:u w:val="single"/>
                </w:rPr>
                <w:t>Consolidated Statements of Cash Flows for the Years Ended December  31, 2023</w:t>
              </w:r>
            </w:hyperlink>
            <w:r>
              <w:rPr>
                <w:color w:val="000000"/>
              </w:rPr>
              <w:t xml:space="preserve"> </w:t>
            </w:r>
            <w:hyperlink w:anchor="i2d5dc8e3d79d422bb773229d757a9969_79">
              <w:r>
                <w:rPr>
                  <w:rStyle w:val="InternetLink"/>
                  <w:rFonts w:ascii="Times New Roman;sans-serif" w:hAnsi="Times New Roman;sans-serif"/>
                  <w:b w:val="false"/>
                  <w:color w:val="0000FF"/>
                  <w:sz w:val="20"/>
                  <w:u w:val="single"/>
                </w:rPr>
                <w:t>and 2022</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d5dc8e3d79d422bb773229d757a9969_85">
              <w:r>
                <w:rPr>
                  <w:rStyle w:val="InternetLink"/>
                  <w:rFonts w:ascii="Times New Roman;sans-serif" w:hAnsi="Times New Roman;sans-serif"/>
                  <w:b w:val="false"/>
                  <w:strike w:val="false"/>
                  <w:dstrike w:val="false"/>
                  <w:color w:val="000000"/>
                  <w:sz w:val="20"/>
                  <w:u w:val="none"/>
                  <w:effect w:val="none"/>
                </w:rPr>
                <w:t>68</w:t>
              </w:r>
            </w:hyperlink>
          </w:p>
        </w:tc>
      </w:tr>
      <w:tr>
        <w:trPr/>
        <w:tc>
          <w:tcPr>
            <w:tcW w:w="94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d5dc8e3d79d422bb773229d757a9969_88">
              <w:r>
                <w:rPr>
                  <w:rStyle w:val="InternetLink"/>
                  <w:rFonts w:ascii="Times New Roman;sans-serif" w:hAnsi="Times New Roman;sans-serif"/>
                  <w:b w:val="false"/>
                  <w:color w:val="0000FF"/>
                  <w:sz w:val="20"/>
                  <w:u w:val="singl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d5dc8e3d79d422bb773229d757a9969_88">
              <w:r>
                <w:rPr>
                  <w:rStyle w:val="InternetLink"/>
                  <w:rFonts w:ascii="Times New Roman;sans-serif" w:hAnsi="Times New Roman;sans-serif"/>
                  <w:b w:val="false"/>
                  <w:strike w:val="false"/>
                  <w:dstrike w:val="false"/>
                  <w:color w:val="000000"/>
                  <w:sz w:val="20"/>
                  <w:u w:val="none"/>
                  <w:effect w:val="none"/>
                </w:rPr>
                <w:t>69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 of Ouster, Inc.</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Opinion on the 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Ouster Inc. and its subsidiaries (the “Company”) as of December 31, 2023 and 2022, and the related consolidated statements of operations and comprehensive loss, of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Basis for Opinion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Critical Audit Matters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Merger with Velodyne Lidar, Inc. – Valuation of Hardware Developed Technology and Customer Relationships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Notes 1, 2 and 3 to the consolidated financial statements, on February 10, 2023, the Company completed its merger with Velodyne Lidar, Inc. for an acquisition price of $306.6 million. Management accounted for the merger as a business combination using the acquisition method of accounting and allocated the purchase price to the identifiable tangible and intangible assets acquired and liabilities assumed based on their estimated fair values as of the acquisition date. Of the identified intangible assets acquired, $2.5 million of hardware developed technology and $5.4 million of customer relationships were recorded. Management valued the hardware developed technology using the relief-from-royalty method, which involved significant assumptions related to the relief-from-royalty rate, the migration curve, the discount rate, and the economic life. Management valued the customer relationships using the distributor method, which involved significant assumptions related to the distributions margin.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considerations for our determination that performing procedures relating to the valuation of hardware developed technology and customer relationships acquired in the merger with Velodyne Lidar, Inc. is a critical audit matter are (i) the significant judgment by management when developing the fair value estimate of the hardware developed technology and customer relationships acquired; (ii) a high degree of auditor judgment, subjectivity, and effort in performing procedures and evaluating management’s significant assumptions related to the relief-from-royalty rate, the migration curve, the discount rate, and the economic life for hardware developed technology and the distributions margin for customer relationships; and (iii) the audit effort involved the use of professionals with specialized skill and knowledge.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Addressing the matter involved performing procedures and evaluating audit evidence in connection with forming our overall opinion on the consolidated financial statements. These procedures included, among others (i) reading the agreement and plan of merger; (ii) testing management’s process for developing the fair value estimate of the hardware developed technology and customer relationships acquired; (iii) evaluating the appropriateness of the relief-from-royalty and distributor methods used by management; (iv) testing the completeness and accuracy of the underlying data used by management in the relief-from-royalty and distributor methods; and (v) evaluating the reasonableness of the significant assumptions used by management related to the relief-from-royalty rate, the migration curve, the discount rate, and the economic life for hardware developed technology and the distributions margin for customer relationships. Evaluating management’s assumptions related to the distributions margin for customer relationships involved considering (i) the consistency with external market and industry data; (ii) the completeness and accuracy of the distributor data; and (iii) whether the assumptions were consistent with evidence obtained in other areas of the audit. Professionals with specialized skill and knowledge were used to assist in evaluating (i) the appropriateness of the relief-from-royalty and distributor methods and (ii) the reasonableness of the relief-from-royalty rate, the migration curve, the discount rate, and the economic life assumptions for hardware developed technology.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Jose, California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28,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OUSTER,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872"/>
        <w:gridCol w:w="2356"/>
        <w:gridCol w:w="2311"/>
        <w:gridCol w:w="211"/>
        <w:gridCol w:w="826"/>
        <w:gridCol w:w="109"/>
        <w:gridCol w:w="109"/>
        <w:gridCol w:w="109"/>
        <w:gridCol w:w="109"/>
        <w:gridCol w:w="211"/>
        <w:gridCol w:w="826"/>
        <w:gridCol w:w="156"/>
      </w:tblGrid>
      <w:tr>
        <w:trPr/>
        <w:tc>
          <w:tcPr>
            <w:tcW w:w="2872"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 long-term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long-term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liability, long-term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9)</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100,000,000 shares authorized at December 31, 2023 and 2022; 43,257,862 and 18,658,798 issued and outstanding at December 31, 2023 and 2022,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171,619 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330,743 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256,137 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OUSTER,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9421" w:type="dxa"/>
        <w:jc w:val="left"/>
        <w:tblInd w:w="0" w:type="dxa"/>
        <w:tblLayout w:type="fixed"/>
        <w:tblCellMar>
          <w:top w:w="28" w:type="dxa"/>
          <w:left w:w="28" w:type="dxa"/>
          <w:bottom w:w="28" w:type="dxa"/>
          <w:right w:w="28" w:type="dxa"/>
        </w:tblCellMar>
      </w:tblPr>
      <w:tblGrid>
        <w:gridCol w:w="2310"/>
        <w:gridCol w:w="2037"/>
        <w:gridCol w:w="2042"/>
        <w:gridCol w:w="211"/>
        <w:gridCol w:w="901"/>
        <w:gridCol w:w="109"/>
        <w:gridCol w:w="109"/>
        <w:gridCol w:w="109"/>
        <w:gridCol w:w="109"/>
        <w:gridCol w:w="211"/>
        <w:gridCol w:w="901"/>
        <w:gridCol w:w="109"/>
        <w:gridCol w:w="109"/>
        <w:gridCol w:w="154"/>
      </w:tblGrid>
      <w:tr>
        <w:trPr/>
        <w:tc>
          <w:tcPr>
            <w:tcW w:w="2310"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unrealized gain (loss) on available for sale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 basic and 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basic and diluted net loss per share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37,042,081 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17,792,316 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OUSTER,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0223" w:type="dxa"/>
        <w:jc w:val="left"/>
        <w:tblInd w:w="0" w:type="dxa"/>
        <w:tblLayout w:type="fixed"/>
        <w:tblCellMar>
          <w:top w:w="28" w:type="dxa"/>
          <w:left w:w="28" w:type="dxa"/>
          <w:bottom w:w="28" w:type="dxa"/>
          <w:right w:w="28" w:type="dxa"/>
        </w:tblCellMar>
      </w:tblPr>
      <w:tblGrid>
        <w:gridCol w:w="645"/>
        <w:gridCol w:w="277"/>
        <w:gridCol w:w="279"/>
        <w:gridCol w:w="109"/>
        <w:gridCol w:w="109"/>
        <w:gridCol w:w="109"/>
        <w:gridCol w:w="153"/>
        <w:gridCol w:w="153"/>
        <w:gridCol w:w="538"/>
        <w:gridCol w:w="423"/>
        <w:gridCol w:w="154"/>
        <w:gridCol w:w="109"/>
        <w:gridCol w:w="109"/>
        <w:gridCol w:w="109"/>
        <w:gridCol w:w="268"/>
        <w:gridCol w:w="453"/>
        <w:gridCol w:w="150"/>
        <w:gridCol w:w="230"/>
        <w:gridCol w:w="230"/>
        <w:gridCol w:w="231"/>
        <w:gridCol w:w="197"/>
        <w:gridCol w:w="743"/>
        <w:gridCol w:w="111"/>
        <w:gridCol w:w="109"/>
        <w:gridCol w:w="109"/>
        <w:gridCol w:w="109"/>
        <w:gridCol w:w="217"/>
        <w:gridCol w:w="832"/>
        <w:gridCol w:w="122"/>
        <w:gridCol w:w="109"/>
        <w:gridCol w:w="109"/>
        <w:gridCol w:w="109"/>
        <w:gridCol w:w="289"/>
        <w:gridCol w:w="644"/>
        <w:gridCol w:w="163"/>
        <w:gridCol w:w="109"/>
        <w:gridCol w:w="109"/>
        <w:gridCol w:w="109"/>
        <w:gridCol w:w="196"/>
        <w:gridCol w:w="736"/>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1413" w:type="dxa"/>
            <w:gridSpan w:val="6"/>
            <w:tcBorders/>
          </w:tcPr>
          <w:p>
            <w:pPr>
              <w:pStyle w:val="TableContents"/>
              <w:bidi w:val="0"/>
              <w:spacing w:before="0" w:after="283"/>
              <w:jc w:val="left"/>
              <w:rPr>
                <w:sz w:val="4"/>
                <w:szCs w:val="4"/>
              </w:rPr>
            </w:pPr>
            <w:r>
              <w:rPr>
                <w:sz w:val="4"/>
                <w:szCs w:val="4"/>
              </w:rPr>
            </w:r>
          </w:p>
        </w:tc>
      </w:tr>
      <w:tr>
        <w:trPr/>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 January 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17,220,042 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564,045 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(303,356)</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260,700 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at-the-market offering, net of commissions and fees of $505 and issuance costs of $546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783,371 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vesting of restricted stock units - net of tax withholding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to employees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Cancellation of Sense acquisition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early exercised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(138,560)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(138,560)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18,658,798 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613,665 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(441,916)</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171,619 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Velodyne Merger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19,483,269 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306,582 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adjustment reflected as a result of the one-for-10 reverse stock split effectuated on April 6,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at-the-market offering, net of commissions and fees of $872 and issuance costs of $327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2,878,875 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1,755,157 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to employees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warrants issuable to customer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early exercised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(374,110)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43,257,862 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995,464 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(816,026)</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179,672 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40" w:before="100" w:after="283"/>
        <w:jc w:val="left"/>
        <w:rPr/>
      </w:pPr>
      <w:hyperlink w:anchor="i2d5dc8e3d79d422bb773229d757a9969_7">
        <w:r>
          <w:rPr>
            <w:rStyle w:val="InternetLink"/>
            <w:rFonts w:ascii="Times New Roman;sans-serif" w:hAnsi="Times New Roman;sans-serif"/>
            <w:b/>
            <w:color w:val="0000FF"/>
            <w:sz w:val="20"/>
            <w:u w:val="single"/>
          </w:rPr>
          <w:t>Table of C</w:t>
        </w:r>
      </w:hyperlink>
      <w:hyperlink w:anchor="i2d5dc8e3d79d422bb773229d757a9969_7">
        <w:r>
          <w:rPr>
            <w:rStyle w:val="InternetLink"/>
            <w:rFonts w:ascii="Times New Roman;sans-serif" w:hAnsi="Times New Roman;sans-serif"/>
            <w:b/>
            <w:color w:val="0000FF"/>
            <w:sz w:val="20"/>
            <w:u w:val="single"/>
            <w:shd w:fill="FFFFFF" w:val="clear"/>
          </w:rPr>
          <w:t>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OUSTER,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745"/>
        <w:gridCol w:w="2314"/>
        <w:gridCol w:w="2286"/>
        <w:gridCol w:w="198"/>
        <w:gridCol w:w="821"/>
        <w:gridCol w:w="110"/>
        <w:gridCol w:w="110"/>
        <w:gridCol w:w="110"/>
        <w:gridCol w:w="110"/>
        <w:gridCol w:w="198"/>
        <w:gridCol w:w="821"/>
        <w:gridCol w:w="110"/>
        <w:gridCol w:w="109"/>
        <w:gridCol w:w="163"/>
      </w:tblGrid>
      <w:tr>
        <w:trPr/>
        <w:tc>
          <w:tcPr>
            <w:tcW w:w="2745"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(374,110)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(138,560)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 impairment charges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166,675 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write-off of construction in progress and right-of-use asset impairment</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lease termination</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Reduction of revenue related to stock warrant issued to customer</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right-of-use asset</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interest income</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and loss on debt extinguishment</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 and debt discount</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or amortization on short-term investments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warrant liabilities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 write down</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doubtful accounts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(Gain)/loss from disposal of property and equipment</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(21,575)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and other liabilities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Contract liabilities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liability</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(137,890)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(110,690)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1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property &amp; equipment</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short-term investments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(137,104)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sales of short-term investments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158,014 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acquired in the Velodyne Merger</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50,601 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ESPP purchase</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borrowings, net of debt discount and issuance costs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borrowings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(43,975)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issuance of common stock under at-the-market offering, net of commissions and fees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At-the-market offering costs for the issuance of common stock</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paid related to net share settlement of restricted stock units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15,657 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55,602 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rates on cash and cash equivalents</w:t>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cash equivalents and restricted cash</w:t>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(71,644)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(60,378)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beginning of year</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124,278 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184,656 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end of year</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52,634 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124,278 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OPERATING ACTIVITIES:</w:t>
            </w:r>
          </w:p>
        </w:tc>
        <w:tc>
          <w:tcPr>
            <w:tcW w:w="11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NON-CASH INVESTING AND FINANCING INFORMATION:</w:t>
            </w:r>
          </w:p>
        </w:tc>
        <w:tc>
          <w:tcPr>
            <w:tcW w:w="11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issuance of common stock under at-the-market offering not received</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purchases included in accounts payable and accrued liabilities</w:t>
            </w:r>
          </w:p>
        </w:tc>
        <w:tc>
          <w:tcPr>
            <w:tcW w:w="1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shares issued in the Velodyne Merger</w:t>
            </w:r>
          </w:p>
        </w:tc>
        <w:tc>
          <w:tcPr>
            <w:tcW w:w="1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297,425 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warrants issued in the Velodyne Merger</w:t>
            </w:r>
          </w:p>
        </w:tc>
        <w:tc>
          <w:tcPr>
            <w:tcW w:w="19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9,177 </w:t>
            </w:r>
          </w:p>
        </w:tc>
        <w:tc>
          <w:tcPr>
            <w:tcW w:w="1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45"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OUSTER,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 – Description of Business and Basis of Presentation</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Ouster, Inc. was incorporated in the Cayman Islands on June 4, 2020 as “Colonnade Acquisition Corp.” (“CLA”). Following the closing of the business combination in March 2021, the Company domesticated as a Delaware corporation and changed its name to “Ouster, Inc.” The Company’s prior operating subsidiary, Ouster Technologies, Inc. (“OTI” and prior to the Merger (as defined below)), was incorporated in the state of Delaware on June 30, 2015. The Company is a leading provider of high-resolution digital lidar sensors that offer advanced 3D vision to machinery, vehicles, robots, and fixed infrastructure assets, allowing each to understand and visualize the surrounding world and ultimately enabling safe operation and ubiquitous autonomy. Unless the context otherwise requires, references in this subsection to “the Company” refer to the business and operations of OTI (formerly known as Ouster, Inc.) and its consolidated subsidiaries prior to the Merger (as defined below) and to Ouster, Inc. (formerly known as CLA) and its consolidated subsidiaries following the consummation of the Merger.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 the Company’s legal predecessor, was originally a blank check company incorporated as a Cayman Islands exempted company on June 4, 2020. CLA was formed for the purpose of effecting a merger, share exchange, asset acquisition, share purchase, reorganization or similar business combination with one or more businesses. On March 11, 2021, CLA consummated a merger (the “Merger”) with OTI pursuant to an Agreement and Plan of Merger (the “Merger Agreement”) dated as of December 21, 2020. As a result of the Merger, among a number of other things, (1) each of the then issued and outstanding 10,000,000 redeemable warrants of CLA (the “CLA warrants”) converted automatically into a redeemable warrant to purchase one share of Ouster common stock (the “Public warrants”) pursuant to the Warrant Agreement, dated August 20, 2020 (the “Warrant Agreement”), between CLA and Continental Stock Transfer &amp; Trust Company (“Continental”), as warrant agent and (2) each of the then issued and outstanding 6,000,000 private placement warrants of CLA (the “Private Placement warrants”) converted automatically into a Public warrant pursuant to the Warrant Agreement. No fractional Public warrants were issued upon separation of the CLA units.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10, 2023, the Company completed the merger with Velodyne Lidar, Inc., a Delaware corporation (“Velodyne”) pursuant to the terms of the Agreement and Plan of Merger (the “Velodyne Merger Agreement”) with Velodyne, Oban Merger Sub, Inc. (“Merger Sub I”) and Oban Merger Sub II LLC (“Merger Sub II”) (the “Velodyne Merger”) dated as of November 4, 2022, accounted for as a business combination with the Company being an accounting acquiror (Note 3).</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the Company and its subsidiaries (all of which are wholly owned) and have been prepared in conformity with U.S. generally accepted accounting principles (“U.S. GAAP”). All intercompany balances and transactions have been eliminated in consolidation. The presentation of certain prior period amounts has been reclassified to conform with current year presentation.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6, 2023, the Board of Directors approved a one-for-10 reverse stock split and a corresponding reduction in authorized shares of common stock (the “Reverse Stock Split”). On April 20, 2023, the Company filed with the Secretary of State of the State of Delaware a Certificate of Amendment to its Certificate of Incorporation to effect the one-for-10 Reverse Stock Split of the Company’s common stock and a corresponding reduction in authorized shares of common stock. The par value of the Company’s common stock was not adjusted as a result of the Reverse Stock Split. All share and per share amounts and related stockholders’ equity balances presented herein have been retroactively adjusted to reflect the Reverse Stock Split.</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principal sources of liquidity are its cash and cash equivalents, short-term investments, cash generated from revenues, sales of common stock under its at-the-market equity offering program and debt financing.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on a going concern basis. The Company has experienced recurring losses from operations, and negative cash flows from operations. As of December 31, 2023, the Company’s existing sources of liquidity included cash and cash equivalents, restricted cash and short-term investments of $191.8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expects significant operating losses and negative cash flows from operations to continue for the foreseeable future. The Company expects to continue investing in product development and sales and marketing activities. The long-term continuation of the Company’s business plan is dependent upon the generation of sufficient revenues from its products to offset expenses. The Company may require additional capital in order to execute management’s current business plan and in the event that the Company does not generate sufficient cash flows from operations and is unable to obtain funding, the Company may be forced to delay, reduce, or eliminate some or all of its discretionary spending, which could adversely affect the Company’s business prospects, ability to meet long-term liquidity needs or ability to continue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concluded that it has sufficient capital to fund its obligations in the ordinary course of business for at least one year from the date these consolidated financial statements were issued.</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Merger Agreement with Velodyne Lidar, Inc.</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4, 2022, the Company entered into an Agreement and Plan of Merger (the “Velodyne Merger Agreement”) with Velodyne Lidar, Inc., a Delaware corporation (“Velodyne”), Oban Merger Sub, Inc., a Delaware corporation and one of the Company’s direct, wholly owned subsidiaries (“Velodyne Merger Sub I”) and Oban Merger Sub II LLC, a Delaware limited liability company and one of the Company’s direct, wholly owned subsidiaries (“Velodyne Merger Sub II”).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10, 2023, the Company completed the merger with Velodyne Lidar, Inc., a Delaware corporation (“Velodyne”) pursuant to the terms of the Agreement and Plan of Merger (the “Velodyne Merger Agreement”) with Velodyne, Oban Merger Sub, Inc. (“Merger Sub I”) and Oban Merger Sub II LLC (“Merger Sub II”) (the “Velodyne Merger”) dated as of November 4, 2022, accounted for as a business combination with the Company being an accounting acquiror (Note 3).</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At the Market Issuance Sales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29, 2022, the Company entered into an At-Market-Issuance Sales Agreement (the “ATM Agreement”) with B. Riley Securities, Inc., Cantor Fitzgerald &amp; Co. and Oppenheimer &amp; Co. Inc., pursuant to which the Company may offer and sell, from time to time, through or to the agents, acting as agent or principal, shares of the Company’s common stock having an aggregate offering price of up to $150.0 million under the Company’s Form S-3 registration statement. During the years ended December 31, 2023 and 2022, the Company sold 2,878,875 and 783,371 shares, respectively. The weighted-average sales price and gross proceeds to the Company before deducting offering costs, sales commissions and fees were approximately $5.67 and $21.48 per share and $33.1 million and $16.8 million, respectively, during the year ended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U.S. GAAP requires management to make certain estimates and assumptions that affect the reported amounts of assets and liabilities and disclosure of contingent assets and liabilities at the date of the financial statements and the reported amounts of revenue and expenses during the reported periods. The most significant estimates included in these consolidated financial statements are the useful lives of long-lived assets, revenue recognition, inventory write downs, the realizability of deferred tax assets, the measurement of stock-based compensation, and the valuation of the Company’s various financial instruments. The complexity of the estimation process and factors relating to assumptions, risks and uncertainties inherent with the use of the estimates affect the amount of revenue and related expenses reported in the Company’s consolidated financial statements. Internal and external factors can affect the Company’s estimates. Actual results could differ from these estimates under different assumptions or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combinations are accounted for under the acquisition method. The Company recognizes the assets acquired and liabilities assumed in business combinations on the basis of their fair values at the date of acquisition. The Company assesses the fair value of assets acquired, including intangible assets, and liabilities assumed using a variety of methods. Each asset acquired and liability assumed is measured at fair value from the perspective of a market participant. The method used to estimate the fair values of intangible assets incorporates significant estimates and assumptions regarding the estimates a market participant would make in order to evaluate an asset, including a market participant’s use of the asset, future cash inflows and outflows, probabilities of success, asset lives, and the appropriate discount rates. Any excess purchase price over the fair value of the net tangible and intangible assets acquired is allocated to goodwill. Transaction costs and restructuring costs associated with a business combination are expensed as incurred.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measurement period, which extends no later than one year from the acquisition date, the Company may record certain adjustments to the carrying value of the assets acquired and liabilities assumed with the corresponding offset to goodwill. After the measurement period, all adjustments are recorded in the consolidated statements of operations within other income (expense), net. </w:t>
      </w:r>
    </w:p>
    <w:p>
      <w:pPr>
        <w:pStyle w:val="TextBody"/>
        <w:bidi w:val="0"/>
        <w:spacing w:lineRule="auto" w:line="288" w:before="36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Foreign Currencies</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functional currency of the Company is the U.S. dollar. The functional currency of the Company’s wholly-owned foreign subsidiaries is generally the same as the entity’s local currency. Accordingly, the asset and liability accounts of our foreign operations are translated into U.S. dollars using the current exchange rate in effect at the balance sheet date and equity accounts are translated into U.S. dollars using historical rates. The revenues and expenses are translated using the weighted-average exchange rates in effect during the period, and gains and losses from foreign currency translation adjustments are included as a component of accumulated other comprehensive loss in the consolidated balance sheets. Foreign currency translation adjustments are recorded in other comprehensive loss in the consolidated statements of operations and comprehensive loss.</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Foreign currency transaction gains and losses are a result of the effect of exchange rate changes on transactions denominated in currencies other than the functional currency. Foreign currency transaction gains and losses are recorded in other income (expense), net in the consolidated statements of operations and comprehensive loss.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as one reportable and operating segment, which relates to the sale and production of lidar sensor kits. The Company’s chief operating decision maker (“CODM”) is its chief executive officer, who reviews financial information presented on a consolidated basis for purposes of making operating decisions, assessing financial performance and allocating resources. The profitability of the Company’s product group is not a determining factor in allocating resources and the CODM does not evaluate profitability below the level of the consolidated company.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when a customer obtains control of promised products or services. The amount of revenue recognized reflects the consideration that the Company expects to be entitled to receive in exchange for these products or services. To achieve the core principle of this standard, the Company performs the following five steps: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1) Identify the contract with a customer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contract with a customer exists when the contract is approved, each party’s rights regarding the product or services to be transferred and the payment terms for the product or services can be identified, it is determined that the customer has the ability and intent to pay and the contract has commercial substance. The Company applies judgement in determining the customer’s ability and intent to pay, which is based on a variety of factors, including the customer’s historical payment experience or, in the case of a new customer, credit and financial information pertaining to the customer. Accounts receivable are due under normal trade terms, typically three months or less.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 Identify the performance obligations in the contract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obligations promised in a contract are identified based on the product or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whereby the transfer of the product or services is separately identifiable from other promises in the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3) Determine the transaction price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 price is determined based on the consideration to which the Company expects to be entitled in exchange for transferring product or services to the customer. Royalties from the license of intellectual property (“IP”) are included in the transaction price in the period the sales occur. Other forms of variable consideration are included in the transaction price if the Company judges that it is probable that a significant future reversal of cumulative revenue under the contract will not occur. None of the Company’s contracts contain a significant financing component. All taxes assessed by a governmental authority on a specific revenue-producing transaction collected by the Company from a customer are excluded from the transaction price.</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4) Allocate the transaction price to performance obligations in the contract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 In 2023 and 2022, the Company did not have a material volume of contracts that required the allocation of transaction price to multiple performance obligations.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5) Recognize revenue when or as the Company satisfies a performance obligation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is recognized at the time the related performance obligation is satisfied by transferring the promised product or service to a customer.</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revenue comes from product sales of lidar sensors to direct customers and distributors. Revenue is recognized at a point in time when control of the goods is transferred to the customer, generally occurring upon shipment or delivery dependent upon the terms of the underlying contract. Product sales to certain customers may require customer acceptance due to performance acceptance criteria that are considered more than a formality. For these product sales, revenue is recognized upon the expiration of the customer acceptance period. Amounts billed to customers for shipping and handling are included in revenue, and the Company has elected to recognize the cost of shipping activities that occur after control has transferred to the customer as a fulfillment cost rather than a separate performance obligation. All related shipping costs are accrued and recognized within cost of revenue when the related revenue is recognized.</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services revenue consists primarily of product development and validation services. The obligation to provide services is generally satisfied over time, with the customer simultaneously receiving and consuming the benefits as the Company satisfies its performance obligations. For product development and validation service projects, the Company bills and recognizes revenue as the services are performed. For these arrangements, control is transferred over as the Company’s inputs are incurred to complete the project; therefore, revenue is recognized over the service period with the measure of progress using the input method based on labor costs incurred to total labor cost (“cost-to-cost”) as the services are provided.</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IP Licenses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licenses rights to its IP to certain customers and collects royalties based on customer’s product sales. IP revenue recognition is dependent on the nature and terms of each agreement. The Company recognizes license revenue upon the later of (a) delivery of the IP or (b) commencement of the license term if there are no substantive future obligations to perform under the arrangement. Revenue for licenses to future technology developed on a when-and-if -available basis is recognized straight-line over the license period as long as customers continue to have access to the future technology. Royalties from the license of IP are recognized at the later of the period the sales occur or the satisfaction of the performance obligation to which some or all of the royalties have been allocated.</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Software Licenses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Gemini software license arrangements provide the customer with the right to install and use functional intellectual property (as it exists at the point in time at which the license is granted) for the duration of the contract term (perpetual or term license). Revenue from distinct software licenses is recognized at the point in time when the software is made available to the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Maintenance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Gemini software license arrangements typically include an initial (bundled) post contract customer support (maintenance or “PCS”) term. Those software license arrangements, which include PCS represent a distinct, stand-alone performance obligation. Contract consideration is allocated to the PCS based on its relative SSP and revenue is recognized ratably over the PCS term.</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Warranties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provides standard product warranties for a term of typically one to two years to ensure that its products comply with agreed-upon specifications. Standard warranties are considered to be assurance type warranties and are not accounted for as separate performance obligations. The Company also provides service type extended warranties for typically an additional term ranging up to two additional years. For service type extended warranty contracts, the Company allocates revenue to this performance obligation on a relative standalone selling price basis and recognizes the revenue on a ratable basis over time during the effective period of the services as the Company stands ready to provide services as needed.</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Costs to obtain a contract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expenses the incremental costs of obtaining a contract when incurred because the amortization period for these costs would typically be less than one year. These costs primarily relate to sales commissions and are expensed as incurred in sales and marketing expense in the Company’s consolidated statements of operations and comprehensive loss. The incremental cost of obtaining a contract for the years ended December 31, 2023 and 2022 was $5.0 million and $2.9 million, respectively.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Right of return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general terms and conditions for its contracts do not contain a right of return that allows the customer to return products and receive a credit, however it has in practice permitted returns of its sensor kits in limited circumstances. Allowances for sales returns, which reduce revenue, are estimated using historical experience and were immaterial as of December 31, 2023 and 2022. Actual returns in subsequent periods have been consistent with estimated amounts.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Net loss per common share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follows the two-class method when computing net loss per common share. The two-class method determines net loss per common share for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 The Company has no participating securities outstanding for the periods presented.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per common share attributable to common stockholders is computed by dividing the net loss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common share attributable to common stockholders is computed by dividing the diluted net loss attributable to common stockholders by the weighted average number of common shares outstanding for the period, including potential dilutive common shares assuming the dilutive effect of common stock equivalents.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periods in which the Company reports a net loss attributable to common stockholders, diluted net loss per common share attributable to common stockholders is the same as basic net loss per common share attributable to common stockholders, since dilutive common shares are not assumed to have been issued if their effect is anti-dilutive. The Company reported a net loss attributable to common stockholders for the years ended December 31, 2023 and 2022.</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Comprehensive Loss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is comprised of net loss and other comprehensive income (loss). The Company’s changes in unrealized loss on available for sale securities and foreign currency translation adjustment are the only components of other comprehensive loss that is excluded from the reported net loss for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with an original maturity from the date of purchase of three months or less to be cash equivalents. Cash and cash equivalents consist of cash deposited with banks, money market accounts and commercial paper.</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consists of certificates of deposit held by banks as security for outstanding letters of credit.</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investments with an original maturity greater than three months and remaining maturities less than one year to be short-term investments. The Company classifies those investments that are not required for use in current operations and that mature in more than 12 months as long-term investments.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classifies its investments as available for sale and reports them at fair value, with unrealized gains and losses recorded in accumulated other comprehensive loss. For investments sold prior to maturity, the cost of investments sold is based on the specific identification method. Realized gains and losses on the sale of investments are recorded in other income, net in the consolidated statement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are recorded at the invoiced amount and do not bear interest. The Company maintains an allowance for expected credit losses representing its best estimate of expected credit losses related to its existing accounts receivable and their net realizable value. The allowance is determined using a combination of factors including historical losses adjusted to take into account current market conditions and customers’ financial condition, the amount of receivables in dispute, and the current receivables aging and current payment patterns. The Company writes off accounts receivable against the allowance after all means of collection have been exhausted and the potential for recovery is considered remote.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Company’s allowance for expected credit losses were as follows (in thousands):</w:t>
      </w:r>
    </w:p>
    <w:tbl>
      <w:tblPr>
        <w:tblW w:w="6616" w:type="dxa"/>
        <w:jc w:val="left"/>
        <w:tblInd w:w="0" w:type="dxa"/>
        <w:tblLayout w:type="fixed"/>
        <w:tblCellMar>
          <w:top w:w="28" w:type="dxa"/>
          <w:left w:w="28" w:type="dxa"/>
          <w:bottom w:w="28" w:type="dxa"/>
          <w:right w:w="28" w:type="dxa"/>
        </w:tblCellMar>
      </w:tblPr>
      <w:tblGrid>
        <w:gridCol w:w="1560"/>
        <w:gridCol w:w="1368"/>
        <w:gridCol w:w="1376"/>
        <w:gridCol w:w="211"/>
        <w:gridCol w:w="616"/>
        <w:gridCol w:w="109"/>
        <w:gridCol w:w="109"/>
        <w:gridCol w:w="109"/>
        <w:gridCol w:w="109"/>
        <w:gridCol w:w="211"/>
        <w:gridCol w:w="466"/>
        <w:gridCol w:w="109"/>
        <w:gridCol w:w="109"/>
        <w:gridCol w:w="154"/>
      </w:tblGrid>
      <w:tr>
        <w:trPr/>
        <w:tc>
          <w:tcPr>
            <w:tcW w:w="1560"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Uncollectible accounts written off, net of recoveries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consists primarily of raw materials, work-in-process, and finished goods and is stated at the lower of cost or estimated net realizable value. Costs are computed under the standard cost method, which approximates actual costs determined on the first-in, first-out basis. The Company charges cost of revenue for write-downs of inventories which are obsolete or in excess of anticipated demand based on purchase commitments, production needed to fulfil the warranty obligations, consideration of product marketability and product development plans, historical revenue and assumptions about future demand and market conditions.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less accumulated depreciation. Expenditures for repairs and maintenance are charged to expense as incurred. Upon disposition, the cost and related accumulated depreciation and amortization are removed from the accounts and resulting gain or loss is reflected in the consolidated statement of income. Depreciation is computed using the straight-line method over the estimated useful lives of the assets (see Note 5).</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events and changes in circumstances that could indicate carrying amounts of long-lived assets, including intangible assets, may not be recoverable. When such events or changes in circumstances occur, the Company assesses the recoverability of long-lived assets by determining whether the carrying value of such assets will be recovered through undiscounted expected future cash flows. If the total of the future undiscounted cash flows is less than the carrying amount of those assets, the Company records an impairment charge in the period in which such determination is made. If such assets are considered to be impaired, the impairment to be recognized is measured by the amount by which the carrying amount of the assets exceeds the fair value of the assets.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over the fair value of net tangible and identified intangible assets acquired in a business combination. Goodwill is not amortized but is evaluated at least annually for impairment or when a change in facts and circumstances indicate that the fair value of the goodwill may be below the carrying value.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is tested for impairment at the reporting unit level annually in the fourth quarter, or more frequently when events or changes in circumstances indicate that the asset might be impaired. Examples of such events or circumstances include, but are not limited to, a significant adverse change in legal or business climate, an adverse regulatory action or unanticipated competition. The Company has determined that it operates in a single operating segment and has a single reporting unit.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to performing the impairment test, the Company assesses qualitative factors to determine whether the existence of events or circumstances would indicate that it is more likely than not that the fair value of the reporting unit was less than the carrying amount. If after assessing the totality of events or circumstances, the Company were to determine that it is more likely than not that the fair value of the reporting unit is less than the carrying amount, then the Company would perform a quantitative impairment test.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quantitative impairment test involves comparing the fair value of the reporting unit to the carrying value. If the fair value of the reporting unit exceeds the carrying value of the net assets, goodwill is not impaired, and no further testing is required. If the fair value of the reporting unit is less than the carrying value, the Company measures the amount of impairment loss, if any, as the excess of the carrying value over the fair value of the reporting unit. In connection with the Company’s goodwill impairment assessments during the year ended December 31, 2023, the Company impaired all of its goodwill.</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developed technology, vendor relationship and customer relationships. Acquired intangible assets are initially recorded at the acquisition-date fair value. Intangible assets are amortized on a straight-line basis over their estimated useful lives, generally 3 to 8 years.</w:t>
      </w:r>
    </w:p>
    <w:p>
      <w:pPr>
        <w:pStyle w:val="TextBody"/>
        <w:bidi w:val="0"/>
        <w:spacing w:lineRule="auto" w:line="288" w:before="360" w:after="283"/>
        <w:jc w:val="left"/>
        <w:rPr/>
      </w:pPr>
      <w:r>
        <w:rPr>
          <w:rFonts w:ascii="Times New Roman;sans-serif" w:hAnsi="Times New Roman;sans-serif"/>
          <w:b/>
          <w:i/>
          <w:color w:val="000000"/>
          <w:sz w:val="20"/>
        </w:rPr>
        <w:t>Fair Value of Financial Instruments</w:t>
      </w:r>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applies the fair value measurement accounting standard whenever other accounting pronouncements require or permit fair value measurements. Fair value is defined in the accounting standard as the price that would be received to sell an asset or paid to transfer a liability in an orderly transaction between market participants at the measurement date.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Level 1 - Quoted prices for identical instruments in active markets.</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Level 2 -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Level 3 - Instruments whose significant value drivers are unobservable.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Warrant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Warrant liabilities consist of Private Placement warrants. The Private Placement warrants are not redeemable for cash so long as they are held by the initial purchasers or their permitted transferees but may be redeemable for common stock if certain other conditions are met. If the Private Placement warrants are held by someone other than the initial purchasers or their permitted transferees, the Private Placement warrants are redeemable by the Company and exercisable by such holders subject to certain conditions, such as the reported closing price of our common stock equaling or exceeding $180.00 per share (as adjusted for stock splits, stock dividends, reorganizations, recapitalizations and the like) for any 20 trading days within a 30 trading-day period ending three business days before the Company sends the notice of redemption to the holders of Private Placement warrants. The Company evaluated the Private Placement warrants and concluded that they do not meet the criteria to be classified within stockholders’ equity. The agreement governing the Private Placement warrants includes a provision, the application of which could result in a different settlement value for the Private Placement warrants depending on their holder. Because the holder of an instrument is not an input into the pricing of a fixed-for-fixed option on the Company’s ordinary shares, the Private Placement warrants are not considered to be “indexed to the Company’s own stock.” This provision precludes the Company from classifying the Private Placement warrants in stockholders’ equity.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the Private Placement warrants meet the definition of a derivative, the Company recorded these warrants as liabilities on the consolidated balance sheet at fair value, with subsequent changes in their respective fair values recognized in the consolidated statements of operations and comprehensive loss at each reporting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Concentrations of credit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credit risk consist primarily of cash, cash equivalents, short-term investments, restricted cash and accounts receivable. Cash, cash equivalents, restricted cash are deposited with federally insured commercial banks in the U.S. and UK, Netherlands, France, Hong Kong, China, Thailand, India, Canada and Germany. At times, cash balances in the U.S. may be in excess of federal insurance limits. As of December 31, 2023 and 2022, the Company had cash, cash equivalents, short-term investment and restricted cash with financial institutions in U.S. of $184.8 million and $123.5 million, respectively. As of December 31, 2023 and 2022, the Company also had cash with financial institutions in countries other than the U.S. of approximately $7.0 million and $0.8 million, respectively, that was not federally insured.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generally does not require collateral or other security deposits for accounts receivable.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reduce credit risk, the Company considers customer creditworthiness, past transaction history with the customer, current economic industry trends, and changes in customer payment terms when determining the collectability of specific customer accounts. Past due balances over 90 days and other higher risk amounts are reviewed individually for collectability. Based on management’s assessment, the Company provides for estimated uncollectible amounts through a charge to earnings and a credit to valuation allowance. Balances that remain outstanding after the Company has used reasonable collection efforts are written off through a charge to the valuation allowance and a credit to accounts receivable.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from the Company’s major customers representing 10% or more of total accounts receivable was as follows:</w:t>
      </w:r>
    </w:p>
    <w:tbl>
      <w:tblPr>
        <w:tblW w:w="2761" w:type="dxa"/>
        <w:jc w:val="left"/>
        <w:tblInd w:w="0" w:type="dxa"/>
        <w:tblLayout w:type="fixed"/>
        <w:tblCellMar>
          <w:top w:w="28" w:type="dxa"/>
          <w:left w:w="28" w:type="dxa"/>
          <w:bottom w:w="28" w:type="dxa"/>
          <w:right w:w="28" w:type="dxa"/>
        </w:tblCellMar>
      </w:tblPr>
      <w:tblGrid>
        <w:gridCol w:w="391"/>
        <w:gridCol w:w="344"/>
        <w:gridCol w:w="345"/>
        <w:gridCol w:w="180"/>
        <w:gridCol w:w="181"/>
        <w:gridCol w:w="271"/>
        <w:gridCol w:w="109"/>
        <w:gridCol w:w="109"/>
        <w:gridCol w:w="109"/>
        <w:gridCol w:w="203"/>
        <w:gridCol w:w="203"/>
        <w:gridCol w:w="31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B</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20" w:after="283"/>
        <w:jc w:val="left"/>
        <w:rPr/>
      </w:pPr>
      <w:r>
        <w:rPr/>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Concentrations of supplier risk</w:t>
      </w:r>
    </w:p>
    <w:p>
      <w:pPr>
        <w:pStyle w:val="TextBody"/>
        <w:bidi w:val="0"/>
        <w:spacing w:lineRule="auto" w:line="288" w:before="120" w:after="120"/>
        <w:jc w:val="left"/>
        <w:rPr/>
      </w:pPr>
      <w:r>
        <w:rPr>
          <w:rFonts w:ascii="Times New Roman;sans-serif" w:hAnsi="Times New Roman;sans-serif"/>
          <w:b w:val="false"/>
          <w:color w:val="000000"/>
          <w:sz w:val="20"/>
        </w:rPr>
        <w:t xml:space="preserve">Purchases from the Company’s </w:t>
      </w:r>
      <w:r>
        <w:rPr>
          <w:rFonts w:ascii="Times New Roman;sans-serif" w:hAnsi="Times New Roman;sans-serif"/>
          <w:b w:val="false"/>
          <w:color w:val="000000"/>
          <w:sz w:val="20"/>
          <w:shd w:fill="FFFFFF" w:val="clear"/>
        </w:rPr>
        <w:t>suppliers</w:t>
      </w:r>
      <w:r>
        <w:rPr>
          <w:color w:val="000000"/>
        </w:rPr>
        <w:t xml:space="preserve"> </w:t>
      </w:r>
      <w:r>
        <w:rPr>
          <w:rFonts w:ascii="Times New Roman;sans-serif" w:hAnsi="Times New Roman;sans-serif"/>
          <w:b w:val="false"/>
          <w:color w:val="000000"/>
          <w:sz w:val="20"/>
        </w:rPr>
        <w:t xml:space="preserve">and vendors representing 10% or more of total purchases were as follows: </w:t>
      </w:r>
    </w:p>
    <w:tbl>
      <w:tblPr>
        <w:tblW w:w="3346" w:type="dxa"/>
        <w:jc w:val="left"/>
        <w:tblInd w:w="0" w:type="dxa"/>
        <w:tblLayout w:type="fixed"/>
        <w:tblCellMar>
          <w:top w:w="28" w:type="dxa"/>
          <w:left w:w="28" w:type="dxa"/>
          <w:bottom w:w="28" w:type="dxa"/>
          <w:right w:w="28" w:type="dxa"/>
        </w:tblCellMar>
      </w:tblPr>
      <w:tblGrid>
        <w:gridCol w:w="359"/>
        <w:gridCol w:w="315"/>
        <w:gridCol w:w="316"/>
        <w:gridCol w:w="180"/>
        <w:gridCol w:w="181"/>
        <w:gridCol w:w="414"/>
        <w:gridCol w:w="166"/>
        <w:gridCol w:w="166"/>
        <w:gridCol w:w="166"/>
        <w:gridCol w:w="203"/>
        <w:gridCol w:w="203"/>
        <w:gridCol w:w="414"/>
        <w:gridCol w:w="109"/>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Supplier A</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Supplier B</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Supplier B accounted for 44% and 39% of total accounts payable balance as of December 31, 2023 and 2022.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professional services vendor accounted for 10% greater of total accounts payable balance as of December 31, 2023. One professional services vendor accounted for approximately 14% of total accounts payable balance as of December 31, 2022.</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Amazon Warrant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Amazon Warrant (as defined in Note 7) is accounted for as an equity instrument. To determine the fair value of the Amazon Warrant on its issuance date, the Company used the Black-Scholes option pricing model.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awards granted to a customer, which are not in exchange for distinct goods or services, the fair value of the awards earned based on service or performance conditions is recorded as a reduction of the transaction price. Accordingly, when Amazon purchases goods or services and vesting conditions become probable of being achieved, the Company records a non-cash stock-based reduction to revenue associated with the Amazon Warrant, which is calculated based on the fair value of the Amazon Warrant shares as of the Velodyne Merger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measures and recognizes stock-based compensation expense for stock-based awards granted to employees, directors, and consultants over the requisite service periods based on the estimated grant date fair value, which for options is using the Black-Scholes-Merton option pricing model using the following variables:</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i/>
          <w:color w:val="000000"/>
          <w:sz w:val="20"/>
        </w:rPr>
        <w:t>Common Stock Valuation</w:t>
      </w:r>
      <w:r>
        <w:rPr>
          <w:color w:val="000000"/>
        </w:rPr>
        <w:t xml:space="preserve"> – </w:t>
      </w:r>
      <w:r>
        <w:rPr>
          <w:rFonts w:ascii="Times New Roman;sans-serif" w:hAnsi="Times New Roman;sans-serif"/>
          <w:b w:val="false"/>
          <w:color w:val="000000"/>
          <w:sz w:val="20"/>
        </w:rPr>
        <w:t>The fair value of the shares of common stock underlying the Company’s stock-based awards issued after the Colonnade Merger is based on the grant date closing fair market value of the Company’s common stock. Before closing of the Colonnade Merger, the fair value of the shares of common stock underlying the Company’s stock-based awards was historically determined by management and approved by the board of directors. Because there was no public market for the Company’s common stock, the board of directors determined the fair value of the common stock at the time of grant of the option by considering a number of objective and subjective factors, including contemporaneous valuations performed by an unrelated third-party specialist, valuations of comparable public companies, operating and financial performance, the lack of liquidity of capital stock, and general and industry-specific economic outlook. Valuations performed by the third-party valuation specialist used methodologies, approaches, and assumptions consistent with the American Institute of Certified Public Accountants Accounting and Valuation Guide, Valuation of Privately-Held-Company Equity Securities Issued as Compensation (“AICPA” Accounting and Valuation Guide). In relation to options, the Board intends all options granted to be exercisable at a price per share not less than the per share fair value of the common stock underlying those options on the date of grant.</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i/>
          <w:color w:val="000000"/>
          <w:sz w:val="20"/>
        </w:rPr>
        <w:t>Expected Term</w:t>
      </w:r>
      <w:r>
        <w:rPr>
          <w:color w:val="000000"/>
        </w:rPr>
        <w:t xml:space="preserve"> – </w:t>
      </w:r>
      <w:r>
        <w:rPr>
          <w:rFonts w:ascii="Times New Roman;sans-serif" w:hAnsi="Times New Roman;sans-serif"/>
          <w:b w:val="false"/>
          <w:color w:val="000000"/>
          <w:sz w:val="20"/>
        </w:rPr>
        <w:t>The expected term represents the period that the Company’s stock-based awards are expected to be outstanding and is determined using the simplified method, which deems the term to be the average of the time to vesting and the contractual life of the options.</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i/>
          <w:color w:val="000000"/>
          <w:sz w:val="20"/>
        </w:rPr>
        <w:t>Expected Volatility</w:t>
      </w:r>
      <w:r>
        <w:rPr>
          <w:color w:val="000000"/>
        </w:rPr>
        <w:t xml:space="preserve"> – </w:t>
      </w:r>
      <w:r>
        <w:rPr>
          <w:rFonts w:ascii="Times New Roman;sans-serif" w:hAnsi="Times New Roman;sans-serif"/>
          <w:b w:val="false"/>
          <w:color w:val="000000"/>
          <w:sz w:val="20"/>
        </w:rPr>
        <w:t>The expected volatility is based on the historical volatility for the period commensurate with the expected term of the awards for a peer group of comparable companies with publicly traded shares.</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i/>
          <w:color w:val="000000"/>
          <w:sz w:val="20"/>
        </w:rPr>
        <w:t>Expected Dividends</w:t>
      </w:r>
      <w:r>
        <w:rPr>
          <w:color w:val="000000"/>
        </w:rPr>
        <w:t xml:space="preserve"> – </w:t>
      </w:r>
      <w:r>
        <w:rPr>
          <w:rFonts w:ascii="Times New Roman;sans-serif" w:hAnsi="Times New Roman;sans-serif"/>
          <w:b w:val="false"/>
          <w:color w:val="000000"/>
          <w:sz w:val="20"/>
        </w:rPr>
        <w:t>The Company does not currently pay cash dividends on its common stock and does not anticipate doing so in the foreseeable future. Accordingly, the expected dividend yield is 0%.</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i/>
          <w:color w:val="000000"/>
          <w:sz w:val="20"/>
        </w:rPr>
        <w:t>Risk-Free Interest Rate </w:t>
      </w:r>
      <w:r>
        <w:rPr>
          <w:color w:val="000000"/>
        </w:rPr>
        <w:t xml:space="preserve">– </w:t>
      </w:r>
      <w:r>
        <w:rPr>
          <w:rFonts w:ascii="Times New Roman;sans-serif" w:hAnsi="Times New Roman;sans-serif"/>
          <w:b w:val="false"/>
          <w:color w:val="000000"/>
          <w:sz w:val="20"/>
        </w:rPr>
        <w:t>The risk-free interest rate is based on the U.S. Treasury yield for a term consistent with the expected life of the awards in effect at the time of grant.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the restricted stock awards and restricted stock units were determined based on the fair value of the Company’s common stock on the grant date. The Company recognizes stock-based compensation expense over the requisite service period. Forfeitures are accounted for as they occur. The Company’s policy for issuing stock upon stock option exercise is to issue new common stock.</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and assets are recognized for the expected future tax consequences of temporary differences between financial statement carrying amounts and the tax basis of assets and liabilities and net operating loss (“NOL”) and tax credit carryforwards. Valuation allowances are established when necessary to reduce deferred tax assets to the amount expected to be realized. Due to its history of operating losses, the Company has recorded a full valuation allowance against its deferred tax assets as of December 31, 2023 and 2022.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uncertainty in income taxes using a two-step approach to recognize and measure uncertain tax positions. The first step is to evaluate the tax position for recognition by determining if the weight of available evidence indicates that it is more likely than not that the position will be sustained on audit, including resolution of the related appeals or litigation processes, if any. An uncertain tax position that meets a more likely than not standard based on its technical merit would then be evaluated under the measurement step to determine the largest tax benefit that the taxpayer more likely than not will realize. The Company classifies any liabilities for unrecognized tax benefits as current to the extent that the Company anticipates payment of cash within one year. Interest and penalties related to uncertain tax positions are recognized in the provision for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Recently Issued and Adopted Accounting Pronouncements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2021, the FASB issued ASU 2021-08, Business Combinations (Topic 805): Accounting for Contract Assets and Contract Liabilities from Contracts with Customers, which amends ASC 805 to add contract assets and contract liabilities to the list of exceptions to the recognition and measurement principles that apply to business combinations and to require that an entity (acquirer) recognize and measure contract assets and contract liabilities acquired in a business combination in accordance with Topic 606. The amendments in this ASU are effective for fiscal years beginning after December 15, 2022, including interim periods within those fiscal years and should be applied prospectively to business combinations occurring on or after the effective date of the amendments. Early adoption of the amendments is permitted, including adoption in an interim period. In the fourth quarter of 2022, Ouster adopted the amendments and recognized contract assets acquired and contract liabilities assumed in the mergers in accordance with ASC 606. Ouster has elected to apply the practical expedient under paragraph ASC 805-20-30-29(b) of the adopted amendments and allocated the transaction price based on the standalone selling price of each performance obligation in the contract with a customer for all contracts acquired in the mergers. As of December 31, 2022, the adoption of this new standard had no impact on the Company’s consolidated financial statements and related footnote disclosures.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 Not Yet Adopted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the applicability and impact of all ASUs. ASUs not referenced below were assessed and determined to be either not applicable or are not expected to have a material impact on the Company’s consolidated financial statements.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No. 2023-07 “Segment Reporting (Topic 280): Improvements to Reportable Segment Disclosures” (“ASU 2023-07”). The ASU expands public entities’ segment disclosures by requiring disclosure of significant segment expenses that are regularly provided to the CODM and included within each reported measure of segment profit or loss, an amount and description of its composition for other segment items, and interim disclosures of a reportable segment’s profit or loss and assets. This guidance is effective for fiscal years beginning after December 15, 2023, and interim periods within fiscal years beginning after December 15, 2024, and requires retrospective adoption. The Company does not expect ASU 2023-07 to have a material impact on the Company’s financial statement and related disclosures.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No. 2023-09, “Income Taxes (Topic 740) Improvements to Income Tax Disclosures” (“ASU 2023-09”), which prescribes standard categories for the components of the effective tax rate reconciliation and requires disclosure of additional information for reconciling items meeting certain quantitative thresholds, requires disclosure of disaggregated income taxes paid, and modifies certain other income tax-related disclosures. ASU 2023-09 is effective for annual periods beginning after December 15, 2024 and can be adopted on a prospective or retrospective basis. The Company is currently evaluating the potential impact of the adoption of ASU 2023-09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3. Business Combination and Related Transactions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10, 2023, the Company completed the Velodyne Merger. Velodyne shares ceased trading on the Nasdaq Stock Market LLC after market close on February 10, 2023, and each Velodyne share was exchanged for 0.8204 shares of the Company’s common stock. Velodyne is treated as the acquired company for financial reporting purposes. This determination is primarily based on the Company’s senior management prior to the Velodyne Merger comprising a majority of the senior management of the Company following the Velodyne Merger, the Company being the initiator of acquiring Velodyne and the Company being the party issuing shares in the Velodyne Merger. The acquisition price for the Velodyne Merger was $306.6 million, primarily consisting of fair value of the Company’s common stock issued in exchange for Velodyne shares and fair value of the Amazon Warrant (Note 7) of $8.6 million. Through December 31, 2023, transaction costs incurred by the Company in connection with the Velodyne Merger, including professional fees, were $13.0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acquisition method of accounting in accordance with ASC 805, the total purchase price was allocated to identifiable tangible and intangible assets acquired and liabilities assumed based on their respective estimated fair values using management’s best estimates and assumptions to assign fair value as of the acquisition date. The purchase accounting, including the identification and allocation of consideration to assets acquired was completed as of the fourth quarter of 2023. The following table provides the assets acquired and liabilities assumed as of the date of acquisition (in thousands):</w:t>
      </w:r>
    </w:p>
    <w:tbl>
      <w:tblPr>
        <w:tblW w:w="7379" w:type="dxa"/>
        <w:jc w:val="left"/>
        <w:tblInd w:w="0" w:type="dxa"/>
        <w:tblLayout w:type="fixed"/>
        <w:tblCellMar>
          <w:top w:w="28" w:type="dxa"/>
          <w:left w:w="28" w:type="dxa"/>
          <w:bottom w:w="28" w:type="dxa"/>
          <w:right w:w="28" w:type="dxa"/>
        </w:tblCellMar>
      </w:tblPr>
      <w:tblGrid>
        <w:gridCol w:w="1962"/>
        <w:gridCol w:w="1723"/>
        <w:gridCol w:w="1729"/>
        <w:gridCol w:w="348"/>
        <w:gridCol w:w="1363"/>
        <w:gridCol w:w="254"/>
      </w:tblGrid>
      <w:tr>
        <w:trPr/>
        <w:tc>
          <w:tcPr>
            <w:tcW w:w="1962"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consideration</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306,602 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amounts of identifiable assets and liabilities assumed</w:t>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155,031 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 long-term portion</w:t>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(32,821)</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(5,475)</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current portion</w:t>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long-term portion</w:t>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(11,940)</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long-term portion</w:t>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net assets</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191,079 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115,523 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306,602 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Identified intangible assets acquired and their estimated useful lives as of February 10, 2023, were (in thousands, except years):</w:t>
      </w:r>
    </w:p>
    <w:tbl>
      <w:tblPr>
        <w:tblW w:w="7106" w:type="dxa"/>
        <w:jc w:val="left"/>
        <w:tblInd w:w="0" w:type="dxa"/>
        <w:tblLayout w:type="fixed"/>
        <w:tblCellMar>
          <w:top w:w="28" w:type="dxa"/>
          <w:left w:w="28" w:type="dxa"/>
          <w:bottom w:w="28" w:type="dxa"/>
          <w:right w:w="28" w:type="dxa"/>
        </w:tblCellMar>
      </w:tblPr>
      <w:tblGrid>
        <w:gridCol w:w="1049"/>
        <w:gridCol w:w="920"/>
        <w:gridCol w:w="925"/>
        <w:gridCol w:w="640"/>
        <w:gridCol w:w="640"/>
        <w:gridCol w:w="641"/>
        <w:gridCol w:w="109"/>
        <w:gridCol w:w="109"/>
        <w:gridCol w:w="109"/>
        <w:gridCol w:w="381"/>
        <w:gridCol w:w="1305"/>
        <w:gridCol w:w="278"/>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 - Hardware</w:t>
            </w:r>
          </w:p>
        </w:tc>
        <w:tc>
          <w:tcPr>
            <w:tcW w:w="19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 - Software</w:t>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 relates to Velodyne’s lidar sensors and Blue City AI software used to monitor traffic networks and public spaces. The Company applied significant judgment in estimating the fair value of the developed technology, which involved significant assumptions related to the relief-from-royalty rate, the migration curve, the discount rate, and the economic life. The Company valued the hardware developed technology using the relief-from-royalty method under the income approach. Software developed technology was valued using the excess earnings method. The economic useful life was determined based on the technology cycle related to each developed technology, as well as the cash flows over the forecasted period.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customer relationships was determined using the distributor method, which involved significant assumptions related to the distributions margin. The Company estimated customer relationships useful life of 8 years that approximates the pattern in which the economic benefits are expected to be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fair value of the inventory was determined using the comparative sales method, which estimated the expected sales price of the product, reduced by all costs expected to be incurred to complete or dispose of the inventory, as well as a profit on the sale.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property and equipment utilized a replacement cost method incorporating the age, quality and condition of the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excess of the purchase consideration and the fair value of identifiable assets acquired and liabilities assumed at the acquisition date over the fair value of net tangible and identified intangible assets acquired was recorded as goodwill, which is not deductible for tax purposes. Goodwill is primarily attributable to the assembled workforce and the anticipated operational synergies at the time of the Velodyne Merger.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statement of operations as of December 31, 2023, includes Velodyne revenue of $29.0 million for the period from the acquisition date of February 10, 2023 to December 31, 2023. Due to the integration of the combined businesses, it was impractical to determine the earnings.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supplemental pro forma information below presents the combined historical results of operations of the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and Velodyne as if the Velodyne Merger had been completed as of January 1, 2022 (in thousands):</w:t>
      </w:r>
    </w:p>
    <w:p>
      <w:pPr>
        <w:pStyle w:val="TextBody"/>
        <w:bidi w:val="0"/>
        <w:spacing w:before="120" w:after="283"/>
        <w:jc w:val="left"/>
        <w:rPr/>
      </w:pPr>
      <w:r>
        <w:rPr/>
      </w:r>
    </w:p>
    <w:tbl>
      <w:tblPr>
        <w:tblW w:w="4554" w:type="dxa"/>
        <w:jc w:val="left"/>
        <w:tblInd w:w="0" w:type="dxa"/>
        <w:tblLayout w:type="fixed"/>
        <w:tblCellMar>
          <w:top w:w="28" w:type="dxa"/>
          <w:left w:w="28" w:type="dxa"/>
          <w:bottom w:w="28" w:type="dxa"/>
          <w:right w:w="28" w:type="dxa"/>
        </w:tblCellMar>
      </w:tblPr>
      <w:tblGrid>
        <w:gridCol w:w="266"/>
        <w:gridCol w:w="234"/>
        <w:gridCol w:w="236"/>
        <w:gridCol w:w="109"/>
        <w:gridCol w:w="109"/>
        <w:gridCol w:w="172"/>
        <w:gridCol w:w="172"/>
        <w:gridCol w:w="310"/>
        <w:gridCol w:w="1286"/>
        <w:gridCol w:w="172"/>
        <w:gridCol w:w="109"/>
        <w:gridCol w:w="109"/>
        <w:gridCol w:w="109"/>
        <w:gridCol w:w="196"/>
        <w:gridCol w:w="811"/>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488" w:type="dxa"/>
            <w:gridSpan w:val="6"/>
            <w:tcBorders/>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86,935 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(372,689)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(326,269)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supplemental pro forma information above includes the following adjustments to net loss in the appropriate pro forma periods (in thousands):</w:t>
      </w:r>
    </w:p>
    <w:tbl>
      <w:tblPr>
        <w:tblW w:w="10205" w:type="dxa"/>
        <w:jc w:val="left"/>
        <w:tblInd w:w="0" w:type="dxa"/>
        <w:tblLayout w:type="fixed"/>
        <w:tblCellMar>
          <w:top w:w="28" w:type="dxa"/>
          <w:left w:w="28" w:type="dxa"/>
          <w:bottom w:w="28" w:type="dxa"/>
          <w:right w:w="28" w:type="dxa"/>
        </w:tblCellMar>
      </w:tblPr>
      <w:tblGrid>
        <w:gridCol w:w="2577"/>
        <w:gridCol w:w="2211"/>
        <w:gridCol w:w="2217"/>
        <w:gridCol w:w="109"/>
        <w:gridCol w:w="109"/>
        <w:gridCol w:w="141"/>
        <w:gridCol w:w="141"/>
        <w:gridCol w:w="273"/>
        <w:gridCol w:w="933"/>
        <w:gridCol w:w="141"/>
        <w:gridCol w:w="109"/>
        <w:gridCol w:w="109"/>
        <w:gridCol w:w="109"/>
        <w:gridCol w:w="211"/>
        <w:gridCol w:w="657"/>
        <w:gridCol w:w="158"/>
      </w:tblGrid>
      <w:tr>
        <w:trPr/>
        <w:tc>
          <w:tcPr>
            <w:tcW w:w="2577"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353" w:type="dxa"/>
            <w:gridSpan w:val="6"/>
            <w:tcBorders/>
          </w:tcPr>
          <w:p>
            <w:pPr>
              <w:pStyle w:val="TableContents"/>
              <w:bidi w:val="0"/>
              <w:spacing w:before="0" w:after="283"/>
              <w:jc w:val="left"/>
              <w:rPr>
                <w:sz w:val="4"/>
                <w:szCs w:val="4"/>
              </w:rPr>
            </w:pPr>
            <w:r>
              <w:rPr>
                <w:sz w:val="4"/>
                <w:szCs w:val="4"/>
              </w:rPr>
            </w:r>
          </w:p>
        </w:tc>
      </w:tr>
      <w:tr>
        <w:trPr/>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increase in amortization expense related to the fair value of acquired identifiable intangible assets, net of the amortization expense already reflected in actual historical results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decrease (increase) in expenses related to the transaction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net increase in revenue related to the impact of the acceleration of the Amazon Warrant vesting recognized by Velodyne at the close of the Velodyne Merger transaction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decrease in expenses related to the impact of the acceleration of the Amazon Warrant vesting recognized by Velodyne at the close of the Velodyne Merger transaction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Represents decrease (increase) in additional stock-based compensation expense related to Ouster employee terminations due to change in control.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Represents a decrease (increase) in severance expense in connection with the Velodyne Merger transaction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supplemental pro forma information has been presented for illustrative purposes only and is not necessarily indicative of results of operations that would have been achieved had the Velodyne Merger taken place on the date indicated, or of the Company’s future consolidated results of operations. The supplemental pro forma information presented above has been derived from the Company’s historical consolidated financial statements and from historical consolidated financial statements and the historical accounting records of Velodyne.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4. Fair Value of Financial Instruments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by level for the Company’s assets and liabilities that were measured at fair value on a recurring basis (in thousands):</w:t>
      </w:r>
    </w:p>
    <w:tbl>
      <w:tblPr>
        <w:tblW w:w="9555" w:type="dxa"/>
        <w:jc w:val="left"/>
        <w:tblInd w:w="0" w:type="dxa"/>
        <w:tblLayout w:type="fixed"/>
        <w:tblCellMar>
          <w:top w:w="28" w:type="dxa"/>
          <w:left w:w="28" w:type="dxa"/>
          <w:bottom w:w="28" w:type="dxa"/>
          <w:right w:w="28" w:type="dxa"/>
        </w:tblCellMar>
      </w:tblPr>
      <w:tblGrid>
        <w:gridCol w:w="1631"/>
        <w:gridCol w:w="1435"/>
        <w:gridCol w:w="1449"/>
        <w:gridCol w:w="211"/>
        <w:gridCol w:w="616"/>
        <w:gridCol w:w="109"/>
        <w:gridCol w:w="109"/>
        <w:gridCol w:w="109"/>
        <w:gridCol w:w="109"/>
        <w:gridCol w:w="211"/>
        <w:gridCol w:w="826"/>
        <w:gridCol w:w="109"/>
        <w:gridCol w:w="109"/>
        <w:gridCol w:w="109"/>
        <w:gridCol w:w="109"/>
        <w:gridCol w:w="211"/>
        <w:gridCol w:w="466"/>
        <w:gridCol w:w="109"/>
        <w:gridCol w:w="109"/>
        <w:gridCol w:w="109"/>
        <w:gridCol w:w="109"/>
        <w:gridCol w:w="211"/>
        <w:gridCol w:w="826"/>
        <w:gridCol w:w="154"/>
      </w:tblGrid>
      <w:tr>
        <w:trPr/>
        <w:tc>
          <w:tcPr>
            <w:tcW w:w="1631"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and U.S. government agency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74" w:type="dxa"/>
        <w:jc w:val="left"/>
        <w:tblInd w:w="0" w:type="dxa"/>
        <w:tblLayout w:type="fixed"/>
        <w:tblCellMar>
          <w:top w:w="28" w:type="dxa"/>
          <w:left w:w="28" w:type="dxa"/>
          <w:bottom w:w="28" w:type="dxa"/>
          <w:right w:w="28" w:type="dxa"/>
        </w:tblCellMar>
      </w:tblPr>
      <w:tblGrid>
        <w:gridCol w:w="775"/>
        <w:gridCol w:w="680"/>
        <w:gridCol w:w="689"/>
        <w:gridCol w:w="211"/>
        <w:gridCol w:w="826"/>
        <w:gridCol w:w="109"/>
        <w:gridCol w:w="109"/>
        <w:gridCol w:w="109"/>
        <w:gridCol w:w="109"/>
        <w:gridCol w:w="211"/>
        <w:gridCol w:w="406"/>
        <w:gridCol w:w="109"/>
        <w:gridCol w:w="109"/>
        <w:gridCol w:w="109"/>
        <w:gridCol w:w="109"/>
        <w:gridCol w:w="211"/>
        <w:gridCol w:w="466"/>
        <w:gridCol w:w="109"/>
        <w:gridCol w:w="109"/>
        <w:gridCol w:w="109"/>
        <w:gridCol w:w="109"/>
        <w:gridCol w:w="211"/>
        <w:gridCol w:w="826"/>
        <w:gridCol w:w="154"/>
      </w:tblGrid>
      <w:tr>
        <w:trPr/>
        <w:tc>
          <w:tcPr>
            <w:tcW w:w="77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 are included within Level 1 of the fair value hierarchy because they are valued using quoted market prices in active markets.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Private Placement warrant liabilities is based on significant unobservable inputs, which represent Level 3 measurements within the fair value hierarchy. In determining the fair value of the warrant liabilities, the Company used the Black-Scholes option pricing model to estimate the fair value using unobservable inputs including the expected term, expected volatility, risk-free interest rate and dividend yield (see Note 7).</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Non-Recurring Fair Value Measurements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certain assets, including intangible assets, which are measured at fair value on a non-recurring basis and are adjusted to fair value only if an impairment charge is recognized. The categorization of the framework used to measure fair value of the assets is considered to be within the Level 3 valuation hierarchy due to the subjective nature of the unobservable inputs used.</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Disclosure of Fair Values</w:t>
      </w:r>
    </w:p>
    <w:p>
      <w:pPr>
        <w:pStyle w:val="TextBody"/>
        <w:bidi w:val="0"/>
        <w:spacing w:lineRule="auto" w:line="288" w:before="120" w:after="283"/>
        <w:jc w:val="left"/>
        <w:rPr/>
      </w:pPr>
      <w:r>
        <w:rPr>
          <w:rFonts w:ascii="Times New Roman;sans-serif" w:hAnsi="Times New Roman;sans-serif"/>
          <w:b w:val="false"/>
          <w:color w:val="000000"/>
          <w:sz w:val="20"/>
        </w:rPr>
        <w:t>Our financial instruments that are not re-measured at fair value includ</w:t>
      </w:r>
      <w:r>
        <w:rPr>
          <w:rFonts w:ascii="Times New Roman;sans-serif" w:hAnsi="Times New Roman;sans-serif"/>
          <w:b w:val="false"/>
          <w:color w:val="000000"/>
          <w:sz w:val="20"/>
          <w:shd w:fill="FFFFFF" w:val="clear"/>
        </w:rPr>
        <w:t xml:space="preserve">e accounts receivable, accounts payable, accrued and other current liabilities and debt. The carrying values of these financial instruments approximate their fair </w:t>
      </w:r>
      <w:r>
        <w:rPr>
          <w:rFonts w:ascii="Times New Roman;sans-serif" w:hAnsi="Times New Roman;sans-serif"/>
          <w:b w:val="false"/>
          <w:color w:val="000000"/>
          <w:sz w:val="20"/>
        </w:rPr>
        <w:t>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5. Balance Sheet Components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 and Short-Term Investments</w:t>
      </w:r>
    </w:p>
    <w:p>
      <w:pPr>
        <w:pStyle w:val="TextBody"/>
        <w:bidi w:val="0"/>
        <w:spacing w:lineRule="auto" w:line="288" w:before="120" w:after="283"/>
        <w:jc w:val="left"/>
        <w:rPr/>
      </w:pPr>
      <w:r>
        <w:rPr>
          <w:rFonts w:ascii="Times New Roman;sans-serif" w:hAnsi="Times New Roman;sans-serif"/>
          <w:b w:val="false"/>
          <w:color w:val="000000"/>
          <w:sz w:val="20"/>
        </w:rPr>
        <w:t xml:space="preserve">The Company’s cash </w:t>
      </w:r>
      <w:r>
        <w:rPr>
          <w:rFonts w:ascii="Times New Roman;sans-serif" w:hAnsi="Times New Roman;sans-serif"/>
          <w:b w:val="false"/>
          <w:color w:val="000000"/>
          <w:sz w:val="20"/>
          <w:shd w:fill="FFFFFF" w:val="clear"/>
        </w:rPr>
        <w:t>and</w:t>
      </w:r>
      <w:r>
        <w:rPr>
          <w:color w:val="000000"/>
        </w:rPr>
        <w:t xml:space="preserve"> </w:t>
      </w:r>
      <w:r>
        <w:rPr>
          <w:rFonts w:ascii="Times New Roman;sans-serif" w:hAnsi="Times New Roman;sans-serif"/>
          <w:b w:val="false"/>
          <w:color w:val="000000"/>
          <w:sz w:val="20"/>
        </w:rPr>
        <w:t>cash equivalents consist of the following (in thousands):</w:t>
      </w:r>
    </w:p>
    <w:tbl>
      <w:tblPr>
        <w:tblW w:w="5259" w:type="dxa"/>
        <w:jc w:val="left"/>
        <w:tblInd w:w="0" w:type="dxa"/>
        <w:tblLayout w:type="fixed"/>
        <w:tblCellMar>
          <w:top w:w="28" w:type="dxa"/>
          <w:left w:w="28" w:type="dxa"/>
          <w:bottom w:w="28" w:type="dxa"/>
          <w:right w:w="28" w:type="dxa"/>
        </w:tblCellMar>
      </w:tblPr>
      <w:tblGrid>
        <w:gridCol w:w="976"/>
        <w:gridCol w:w="855"/>
        <w:gridCol w:w="869"/>
        <w:gridCol w:w="211"/>
        <w:gridCol w:w="721"/>
        <w:gridCol w:w="109"/>
        <w:gridCol w:w="109"/>
        <w:gridCol w:w="109"/>
        <w:gridCol w:w="109"/>
        <w:gridCol w:w="211"/>
        <w:gridCol w:w="826"/>
        <w:gridCol w:w="154"/>
      </w:tblGrid>
      <w:tr>
        <w:trPr/>
        <w:tc>
          <w:tcPr>
            <w:tcW w:w="97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Money market funds</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 Company maintains a cash sweep account, which is included in money market funds as of December 31, 2023 and 2022, respectively. Cash is invested in short-term money market funds that earn interest.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acquired short-term investments consisting of commercial paper, corporate debt and U.S. government agency securities as a result of the merger with Velodyne that closed on February 10, 2023 (see Note 3). Short-term investments were $139.2 million as of December 31, 2023. Unrealized gains and losses on the Company’s short-term investments were not significant as of December 31, 2023 and therefore, the amortized cost of the Company’s short-term investments approximated their fair value.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reported in the consolidated balance sheets to the total of the amounts reported in the consolidated statements of cash flows (in thousands):</w:t>
      </w:r>
    </w:p>
    <w:tbl>
      <w:tblPr>
        <w:tblW w:w="7977" w:type="dxa"/>
        <w:jc w:val="left"/>
        <w:tblInd w:w="0" w:type="dxa"/>
        <w:tblLayout w:type="fixed"/>
        <w:tblCellMar>
          <w:top w:w="28" w:type="dxa"/>
          <w:left w:w="28" w:type="dxa"/>
          <w:bottom w:w="28" w:type="dxa"/>
          <w:right w:w="28" w:type="dxa"/>
        </w:tblCellMar>
      </w:tblPr>
      <w:tblGrid>
        <w:gridCol w:w="1429"/>
        <w:gridCol w:w="1254"/>
        <w:gridCol w:w="1262"/>
        <w:gridCol w:w="211"/>
        <w:gridCol w:w="721"/>
        <w:gridCol w:w="109"/>
        <w:gridCol w:w="109"/>
        <w:gridCol w:w="109"/>
        <w:gridCol w:w="109"/>
        <w:gridCol w:w="211"/>
        <w:gridCol w:w="826"/>
        <w:gridCol w:w="109"/>
        <w:gridCol w:w="109"/>
        <w:gridCol w:w="109"/>
        <w:gridCol w:w="109"/>
        <w:gridCol w:w="211"/>
        <w:gridCol w:w="826"/>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consisting of material, direct and indirect labor, and manufacturing overhead, consists of the following (in thousands):</w:t>
      </w:r>
    </w:p>
    <w:tbl>
      <w:tblPr>
        <w:tblW w:w="3879" w:type="dxa"/>
        <w:jc w:val="left"/>
        <w:tblInd w:w="0" w:type="dxa"/>
        <w:tblLayout w:type="fixed"/>
        <w:tblCellMar>
          <w:top w:w="28" w:type="dxa"/>
          <w:left w:w="28" w:type="dxa"/>
          <w:bottom w:w="28" w:type="dxa"/>
          <w:right w:w="28" w:type="dxa"/>
        </w:tblCellMar>
      </w:tblPr>
      <w:tblGrid>
        <w:gridCol w:w="516"/>
        <w:gridCol w:w="453"/>
        <w:gridCol w:w="456"/>
        <w:gridCol w:w="211"/>
        <w:gridCol w:w="721"/>
        <w:gridCol w:w="109"/>
        <w:gridCol w:w="109"/>
        <w:gridCol w:w="109"/>
        <w:gridCol w:w="109"/>
        <w:gridCol w:w="211"/>
        <w:gridCol w:w="721"/>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and 2022, $10.0 million and $1.3 million of inventory write downs were charged to cost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Prepaid expenses and other current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 of the following (in thousands):</w:t>
      </w:r>
    </w:p>
    <w:tbl>
      <w:tblPr>
        <w:tblW w:w="5693" w:type="dxa"/>
        <w:jc w:val="left"/>
        <w:tblInd w:w="0" w:type="dxa"/>
        <w:tblLayout w:type="fixed"/>
        <w:tblCellMar>
          <w:top w:w="28" w:type="dxa"/>
          <w:left w:w="28" w:type="dxa"/>
          <w:bottom w:w="28" w:type="dxa"/>
          <w:right w:w="28" w:type="dxa"/>
        </w:tblCellMar>
      </w:tblPr>
      <w:tblGrid>
        <w:gridCol w:w="1212"/>
        <w:gridCol w:w="1062"/>
        <w:gridCol w:w="1070"/>
        <w:gridCol w:w="211"/>
        <w:gridCol w:w="721"/>
        <w:gridCol w:w="109"/>
        <w:gridCol w:w="109"/>
        <w:gridCol w:w="109"/>
        <w:gridCol w:w="109"/>
        <w:gridCol w:w="211"/>
        <w:gridCol w:w="616"/>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 from contract manufacturers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and 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consists of the following (in thousands):</w:t>
      </w:r>
    </w:p>
    <w:tbl>
      <w:tblPr>
        <w:tblW w:w="8033" w:type="dxa"/>
        <w:jc w:val="left"/>
        <w:tblInd w:w="0" w:type="dxa"/>
        <w:tblLayout w:type="fixed"/>
        <w:tblCellMar>
          <w:top w:w="28" w:type="dxa"/>
          <w:left w:w="28" w:type="dxa"/>
          <w:bottom w:w="28" w:type="dxa"/>
          <w:right w:w="28" w:type="dxa"/>
        </w:tblCellMar>
      </w:tblPr>
      <w:tblGrid>
        <w:gridCol w:w="1036"/>
        <w:gridCol w:w="911"/>
        <w:gridCol w:w="917"/>
        <w:gridCol w:w="939"/>
        <w:gridCol w:w="939"/>
        <w:gridCol w:w="942"/>
        <w:gridCol w:w="211"/>
        <w:gridCol w:w="721"/>
        <w:gridCol w:w="109"/>
        <w:gridCol w:w="109"/>
        <w:gridCol w:w="109"/>
        <w:gridCol w:w="109"/>
        <w:gridCol w:w="211"/>
        <w:gridCol w:w="616"/>
        <w:gridCol w:w="154"/>
      </w:tblGrid>
      <w:tr>
        <w:trPr/>
        <w:tc>
          <w:tcPr>
            <w:tcW w:w="103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 Life</w:t>
              <w:br/>
              <w:t>(in years)</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864" w:type="dxa"/>
            <w:gridSpan w:val="3"/>
            <w:vMerge w:val="continue"/>
            <w:tcBorders/>
            <w:tcMar>
              <w:top w:w="0" w:type="dxa"/>
              <w:left w:w="0" w:type="dxa"/>
              <w:bottom w:w="0" w:type="dxa"/>
              <w:right w:w="0" w:type="dxa"/>
            </w:tcMar>
            <w:vAlign w:val="center"/>
          </w:tcPr>
          <w:p>
            <w:pPr>
              <w:pStyle w:val="Normal"/>
              <w:bidi w:val="0"/>
              <w:jc w:val="left"/>
              <w:rPr/>
            </w:pPr>
            <w:r>
              <w:rPr/>
            </w:r>
          </w:p>
        </w:tc>
        <w:tc>
          <w:tcPr>
            <w:tcW w:w="2820"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Automotive and vehicle hardware</w:t>
            </w:r>
          </w:p>
        </w:tc>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Shorter of useful life or lease term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2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associated with property and equipment was $10.4 million and $5.0 million in the years ended December 31, 2023 and 2022, respectively.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property and equipment, net by geography (in thousands):</w:t>
      </w:r>
    </w:p>
    <w:p>
      <w:pPr>
        <w:pStyle w:val="TextBody"/>
        <w:bidi w:val="0"/>
        <w:spacing w:before="0" w:after="0"/>
        <w:jc w:val="left"/>
        <w:rPr/>
      </w:pPr>
      <w:r>
        <w:rPr/>
      </w:r>
    </w:p>
    <w:tbl>
      <w:tblPr>
        <w:tblW w:w="3548" w:type="dxa"/>
        <w:jc w:val="left"/>
        <w:tblInd w:w="0" w:type="dxa"/>
        <w:tblLayout w:type="fixed"/>
        <w:tblCellMar>
          <w:top w:w="28" w:type="dxa"/>
          <w:left w:w="28" w:type="dxa"/>
          <w:bottom w:w="28" w:type="dxa"/>
          <w:right w:w="28" w:type="dxa"/>
        </w:tblCellMar>
      </w:tblPr>
      <w:tblGrid>
        <w:gridCol w:w="435"/>
        <w:gridCol w:w="381"/>
        <w:gridCol w:w="383"/>
        <w:gridCol w:w="211"/>
        <w:gridCol w:w="721"/>
        <w:gridCol w:w="109"/>
        <w:gridCol w:w="109"/>
        <w:gridCol w:w="109"/>
        <w:gridCol w:w="109"/>
        <w:gridCol w:w="211"/>
        <w:gridCol w:w="61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Thailand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Goodwill and Acquired Intangible Assets,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the Company completed the acquisition of Velodyne. The transaction has been accounted for as a business combination. The Company acquired Velodyne for the price of $306.6 million, primarily consisting of fair value of the Company’s common stock issued in exchange for Velodyne shares and fair value of the Amazon Warrant (Note 7) of $8.6 million. Goodwill represents the excess of the purchase price over the preliminary estimated fair values of the identifiable assets and assumed liabilities acquired and is primarily attributable to the assembled workforce and expected synergies at the time of the acquisition. Goodwill is not deductible for tax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goodwill activity (in thousands):</w:t>
      </w:r>
    </w:p>
    <w:tbl>
      <w:tblPr>
        <w:tblW w:w="5095" w:type="dxa"/>
        <w:jc w:val="left"/>
        <w:tblInd w:w="0" w:type="dxa"/>
        <w:tblLayout w:type="fixed"/>
        <w:tblCellMar>
          <w:top w:w="28" w:type="dxa"/>
          <w:left w:w="28" w:type="dxa"/>
          <w:bottom w:w="28" w:type="dxa"/>
          <w:right w:w="28" w:type="dxa"/>
        </w:tblCellMar>
      </w:tblPr>
      <w:tblGrid>
        <w:gridCol w:w="1411"/>
        <w:gridCol w:w="1241"/>
        <w:gridCol w:w="1248"/>
        <w:gridCol w:w="211"/>
        <w:gridCol w:w="721"/>
        <w:gridCol w:w="109"/>
        <w:gridCol w:w="154"/>
      </w:tblGrid>
      <w:tr>
        <w:trPr/>
        <w:tc>
          <w:tcPr>
            <w:tcW w:w="141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Goodwill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addition related to Velodyne Merger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is not amortized and is tested for impairment on an annual basis or whenever events or changes in circumstances indicate that the carrying value may not be recoverable. In 2023 the Company experienced a significant decline in its stock price. This decline resulted in the total market value of its shares of stock outstanding (“market capitalization”) being less than the carrying value of its reporting unit as of March 31, 2023 and June 30, 2023. The Company also considered the impact of current macroeconomic conditions in the lidar sensor industry that potentially impact the fair value of the Company’s reporting unit. The macroeconomic conditions considered include deterioration in the equity markets evidenced by sustained declines in the Company’s stock price, those of its peers, along with an increase in the weighted-average cost of capital primarily driven by an increase in interest rates. After considering all available evidence in the evaluation of goodwill impairment indicators, the Company determined it was appropriate to perform an interim quantitative assessment of its goodwill as of March 31, 2023 and June 30, 2023. In connection with the Company’s interim goodwill impairment assessments the Company recorded goodwill impairment charges of approximately $99.4 million in the three months ended March 31, 2023 and $67.3 million in the three months ended June 30, 2023. The Company’s goodwill impairment analysis included a comparison of the aggregate estimated fair value of our reporting unit to our total market capitalization.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remaining goodwill balance was nil. No goodwill impairment charges were recognized during the year ended December 31, 2022.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acquired intangible assets, net as of December 31, 2023 and 2022 (in thousands):</w:t>
      </w:r>
    </w:p>
    <w:tbl>
      <w:tblPr>
        <w:tblW w:w="9832" w:type="dxa"/>
        <w:jc w:val="left"/>
        <w:tblInd w:w="0" w:type="dxa"/>
        <w:tblLayout w:type="fixed"/>
        <w:tblCellMar>
          <w:top w:w="28" w:type="dxa"/>
          <w:left w:w="28" w:type="dxa"/>
          <w:bottom w:w="28" w:type="dxa"/>
          <w:right w:w="28" w:type="dxa"/>
        </w:tblCellMar>
      </w:tblPr>
      <w:tblGrid>
        <w:gridCol w:w="723"/>
        <w:gridCol w:w="634"/>
        <w:gridCol w:w="638"/>
        <w:gridCol w:w="550"/>
        <w:gridCol w:w="550"/>
        <w:gridCol w:w="551"/>
        <w:gridCol w:w="109"/>
        <w:gridCol w:w="109"/>
        <w:gridCol w:w="109"/>
        <w:gridCol w:w="374"/>
        <w:gridCol w:w="1278"/>
        <w:gridCol w:w="193"/>
        <w:gridCol w:w="109"/>
        <w:gridCol w:w="109"/>
        <w:gridCol w:w="109"/>
        <w:gridCol w:w="391"/>
        <w:gridCol w:w="1477"/>
        <w:gridCol w:w="202"/>
        <w:gridCol w:w="109"/>
        <w:gridCol w:w="109"/>
        <w:gridCol w:w="109"/>
        <w:gridCol w:w="250"/>
        <w:gridCol w:w="857"/>
        <w:gridCol w:w="18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 Value</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Vendor relationship</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36,400 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(11,964)</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24,436 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9831" w:type="dxa"/>
        <w:jc w:val="left"/>
        <w:tblInd w:w="0" w:type="dxa"/>
        <w:tblLayout w:type="fixed"/>
        <w:tblCellMar>
          <w:top w:w="28" w:type="dxa"/>
          <w:left w:w="28" w:type="dxa"/>
          <w:bottom w:w="28" w:type="dxa"/>
          <w:right w:w="28" w:type="dxa"/>
        </w:tblCellMar>
      </w:tblPr>
      <w:tblGrid>
        <w:gridCol w:w="723"/>
        <w:gridCol w:w="634"/>
        <w:gridCol w:w="638"/>
        <w:gridCol w:w="550"/>
        <w:gridCol w:w="550"/>
        <w:gridCol w:w="551"/>
        <w:gridCol w:w="109"/>
        <w:gridCol w:w="109"/>
        <w:gridCol w:w="109"/>
        <w:gridCol w:w="374"/>
        <w:gridCol w:w="1278"/>
        <w:gridCol w:w="193"/>
        <w:gridCol w:w="109"/>
        <w:gridCol w:w="109"/>
        <w:gridCol w:w="109"/>
        <w:gridCol w:w="457"/>
        <w:gridCol w:w="1373"/>
        <w:gridCol w:w="239"/>
        <w:gridCol w:w="109"/>
        <w:gridCol w:w="109"/>
        <w:gridCol w:w="109"/>
        <w:gridCol w:w="250"/>
        <w:gridCol w:w="857"/>
        <w:gridCol w:w="18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 Value</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Vendor relationship</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23,400 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18,165 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was $6.7 million and $4.5 million in the years ended December 31, 2023 and 2022, respectively.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estimated future amortization expense of finite-lived intangible assets-net (in thousands):</w:t>
      </w:r>
    </w:p>
    <w:tbl>
      <w:tblPr>
        <w:tblW w:w="2032" w:type="dxa"/>
        <w:jc w:val="left"/>
        <w:tblInd w:w="0" w:type="dxa"/>
        <w:tblLayout w:type="fixed"/>
        <w:tblCellMar>
          <w:top w:w="28" w:type="dxa"/>
          <w:left w:w="28" w:type="dxa"/>
          <w:bottom w:w="28" w:type="dxa"/>
          <w:right w:w="28" w:type="dxa"/>
        </w:tblCellMar>
      </w:tblPr>
      <w:tblGrid>
        <w:gridCol w:w="342"/>
        <w:gridCol w:w="299"/>
        <w:gridCol w:w="305"/>
        <w:gridCol w:w="211"/>
        <w:gridCol w:w="72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Product Warranties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activity in accrued warranty cost (in thousands):</w:t>
      </w:r>
    </w:p>
    <w:tbl>
      <w:tblPr>
        <w:tblW w:w="4628" w:type="dxa"/>
        <w:jc w:val="left"/>
        <w:tblInd w:w="0" w:type="dxa"/>
        <w:tblLayout w:type="fixed"/>
        <w:tblCellMar>
          <w:top w:w="28" w:type="dxa"/>
          <w:left w:w="28" w:type="dxa"/>
          <w:bottom w:w="28" w:type="dxa"/>
          <w:right w:w="28" w:type="dxa"/>
        </w:tblCellMar>
      </w:tblPr>
      <w:tblGrid>
        <w:gridCol w:w="864"/>
        <w:gridCol w:w="758"/>
        <w:gridCol w:w="762"/>
        <w:gridCol w:w="211"/>
        <w:gridCol w:w="616"/>
        <w:gridCol w:w="109"/>
        <w:gridCol w:w="109"/>
        <w:gridCol w:w="109"/>
        <w:gridCol w:w="109"/>
        <w:gridCol w:w="211"/>
        <w:gridCol w:w="616"/>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from acquisitions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expenditures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to warranty accrual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Accrued and Other Current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 consist of the following (in thousands):</w:t>
      </w:r>
    </w:p>
    <w:tbl>
      <w:tblPr>
        <w:tblW w:w="5933" w:type="dxa"/>
        <w:jc w:val="left"/>
        <w:tblInd w:w="0" w:type="dxa"/>
        <w:tblLayout w:type="fixed"/>
        <w:tblCellMar>
          <w:top w:w="28" w:type="dxa"/>
          <w:left w:w="28" w:type="dxa"/>
          <w:bottom w:w="28" w:type="dxa"/>
          <w:right w:w="28" w:type="dxa"/>
        </w:tblCellMar>
      </w:tblPr>
      <w:tblGrid>
        <w:gridCol w:w="1259"/>
        <w:gridCol w:w="1106"/>
        <w:gridCol w:w="1114"/>
        <w:gridCol w:w="211"/>
        <w:gridCol w:w="721"/>
        <w:gridCol w:w="109"/>
        <w:gridCol w:w="109"/>
        <w:gridCol w:w="109"/>
        <w:gridCol w:w="109"/>
        <w:gridCol w:w="211"/>
        <w:gridCol w:w="721"/>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Uninvoiced receipts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legal contingencies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use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and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6. Debt</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Loan and Security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29, 2022 the Company entered into a Loan Agreement with Hercules Capital, Inc. (“Hercules”) (as amended, the “Loan Agreement”). The Loan Agreement provided the Company with a term loan facility of up to $50.0 million, subject to certain terms and conditions. The Company borrowed the initial tranche of $20.0 million on April 29, 2022. On October 17, 2022, the Company borrowed an additional $20.0 million.</w:t>
      </w:r>
    </w:p>
    <w:p>
      <w:pPr>
        <w:pStyle w:val="TextBody"/>
        <w:bidi w:val="0"/>
        <w:spacing w:lineRule="auto" w:line="288" w:before="120" w:after="283"/>
        <w:jc w:val="left"/>
        <w:rPr/>
      </w:pPr>
      <w:r>
        <w:rPr>
          <w:rFonts w:ascii="Times New Roman;sans-serif" w:hAnsi="Times New Roman;sans-serif"/>
          <w:b w:val="false"/>
          <w:color w:val="000000"/>
          <w:sz w:val="20"/>
        </w:rPr>
        <w:t xml:space="preserve">The Loan Agreement included a minimum liquidity financial covenant whereby the Company was required to maintain at least </w:t>
      </w:r>
      <w:r>
        <w:rPr>
          <w:rFonts w:ascii="Times New Roman;sans-serif" w:hAnsi="Times New Roman;sans-serif"/>
          <w:b w:val="false"/>
          <w:color w:val="000000"/>
          <w:sz w:val="20"/>
          <w:shd w:fill="FFFFFF" w:val="clear"/>
        </w:rPr>
        <w:t>$60.0 million</w:t>
      </w:r>
      <w:r>
        <w:rPr>
          <w:color w:val="000000"/>
        </w:rPr>
        <w:t xml:space="preserve"> </w:t>
      </w:r>
      <w:r>
        <w:rPr>
          <w:rFonts w:ascii="Times New Roman;sans-serif" w:hAnsi="Times New Roman;sans-serif"/>
          <w:b w:val="false"/>
          <w:color w:val="000000"/>
          <w:sz w:val="20"/>
        </w:rPr>
        <w:t>of cash in deposit accounts that are subject to an account control agreement in favor of Hercules.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10, 2023, the Company entered into the Third Amendment, which amended the Loan Agreement to (i) increase the existing debt baskets for (a) purchase money debt and capital leases and (b) letter of credit obligations, (ii) provide for increased flexibility to maintain cash in non-US accounts, and (iii) provide for increased flexibility to relocate certain equipment.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under the Loan Agreement bore interest at the rate of interest equal to greater of either (i) (x) the prime rate as reported in The Wall Street Journal plus (y) 6.15%, and (ii) 9.40%, subject to compliance with financial covenants and other conditions. The Loan Agreement included covenants, limitations, and events of default customary for similar facilities.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Loan Agreement, the Company paid the lender a cash facility and legal fees of $0.6 million and incurred debt issuance costs to third parties that were directly related to issuing debt in the amount of $0.3 million. The effective interest rate on this debt was 17.90% after giving effect to the debt discount, debt issuance costs and the end of term charge. Amortization expense included in the interest expense related to debt discount and debt issuance costs of the Loan Agreement was not material for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to repayment of the Loan Agreement, interest on amounts borrowed was payable on a monthly basis until June 1, 2025 (the “Amortization Date”). On and as of the Amortization Date, payments consist of equal monthly installments of principal and interest payable until the secured obligations are repaid in full. However, if the Company achieved certain equity proceeds, revenue or profit targets for the twelve-month period ending December 31, 2023, then the Amortization Date would have been extended to the Maturity Date. The entire principal balance and all accrued but unpaid interest were to be due and payable on the Maturity Date. On the earliest to occur of May 1, 2026, the date on which the obligations under the Loan Agreement were paid and the date on which such obligations became due and payable, the Company was also required to pay Hercules an end of term fee in an amount equal to 7.45% of the aggregated amount of all Advances made under the Loan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was permitted to prepay the principal of any advance made pursuant to the terms of the Term Loan Facility at any time subject to a prepayment charge equal to: 2.50%, if such advance was prepaid in any of the first 12 months following the Closing Date, 1.50%, if such advance was prepaid after 12 months but prior to 24 months following the Closing Date, and 1.0%, if such advance was prepaid anytime thereafter.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25, 2023, the Loan Agreement was repaid with proceeds of the loans drawn under the Credit Agreement (as defined below) with UBS Bank USA and UBS Financial Services Inc. resulting in a loss on extinguishment of debt of $3.6 million and recorded it as interest expense in its consolidated statements of operations and comprehensive loss for the twelve months ended December 31, 2023.</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Revolving Credit</w:t>
      </w:r>
    </w:p>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25, 2023, the Company entered into the Credit Line Account Application and Agreement for Organizations and Businesses (the “Credit Agreement”) and the Addendum to Credit Line Account Application and Agreement (the “Addendum”; and the Credit Agreement as amended, modified, and/or supplemented by the Addendum, the “UBS Agreement”) by and among the Company, UBS Bank USA (the “Bank”), and UBS Financial Services Inc. The facility under the UBS Agreement matures and terminates on August 2, 2025 (the “Maturity Date”).</w:t>
      </w:r>
    </w:p>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UBS Agreement provides the Company with a revolving credit line of up to $45.0 million, subject to certain terms and conditions. The Company borrowed $44.0 million on October 25, 2023, and all of the proceeds were used to prepay and terminate the Company’s Loan Agreement on October 25, 2023. The Company recognized constructive financing cash outflows and financing cash inflows on the statement of cash flows of $44.0 million, respectively, even though no funds were actually paid or received.</w:t>
      </w:r>
    </w:p>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UBS Agreement, the Company has agreed to maintain minimum liquidity, that can be comprised of unencumbered cash and cash equivalents, U.S. treasuries and other assets acceptable to the Bank, of $52.0 million in an account maintained with the Bank or its affiliates at all times. As of December 31, 2023, the Company is in compliance with this minimum liquidity requirement within the loan agreement.</w:t>
      </w:r>
    </w:p>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Loans under the UBS Agreement bear interest at a rate equal to (x) for variable rate loans, the sum of (i) the applicable SOFR average plus 0.110%, plus (ii) 1.20%, and (y) for fixed rate loans, the sum of either (1) CME Term Rate or (2) the U.S. Treasury Rate, as applicable and as defined in the UBS Agreement, as determined based on the duration of the advance, plus the applicable liquidity premium with a range of 0.15% to 0.50%, as set forth in the UBS Agreement. Interest payments are due (x) for variable rate loans, on the last day of each calendar month, and on each date that any portion of the principal amount is due, including on the Maturity Date, and (y) for fixed rate loans, on the last day of the applicable interest period, and on each date that any portion of the principal amount is due, including on the Maturity Date. The Company may repay any variable rate loans at any time in whole or in part, without penalty. The Company may repay any fixed rate loans in whole, but not in part, subject to certain breakage costs.</w:t>
      </w:r>
    </w:p>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agreed to pay an unused line fee in an amount equal to (i) the commitment amount of $45.0 million less the average daily balance of the sum of the principal amount of the obligations outstanding during the preceding calendar quarter, multiplied by (ii) 0.50% per annum, and such unused line fee is payable quarterly in arrears on the last day of each calendar quarter.</w:t>
      </w:r>
    </w:p>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UBS Agreement also contains affirmative and negative covenants customary for a credit line of this type, including requirements for maintenance of the collateral accounts and certain limitations on withdrawal of cash from such collateral accounts. The UBS Agreement also provides for customary events of default, including, among others, non-payment, failure to maintain an amount equal to the greater of (x) the outstanding loans and (y) the collateral value as determined by the Bank, in the securities accounts maintained with the Bank, bankruptcy, or breach of a covenant, representation and warranty. As of December 31, 2023, the Company was in compliance with the covenants set forth in the UBS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7. Warrants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Private Placement Warrants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Simultaneously with the closing of the Company’s initial public offering (the “IPO”) in August 2020, the sponsor of CLA, Colonnade Sponsor LLC, purchased an aggregate of 600,000 Private Placement warrants at a price of $10.00 per warrant, for an aggregate purchase price of $6,000,000. The Private Placement warrants became exercisable 12 months following the closing of the Company’s IPO, and will expire 5 years from the completion of the Colonnade Merger, or earlier upon redemption or liquidation. On March 11, 2021, as adjusted to reflect the Reverse Stock Split, each outstanding Private Placement warrant automatically converted into a warrant to purchase one-tenth of a share of Ouster common stock pursuant to the Warrant Agreement. Each 10 Private Placement warrants is exercisable for one share of Ouster common stock at an exercise price of $115.00 per share, with no fractional shares being issuable upon exercise of a warrant.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private placement warrant liability was initially recognized as a liability at a fair value of $19.4 million and the private placement warrant liability was remeasured to fair value as of December 31, 2023 and 2022, resulting in a loss of $0.05 million and $7.4 million in the years ended December 31, 2023 and 2022, respectively, classified within other income (expense), net in the consolidated statements of operations and comprehensive loss.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private placement warrant was valued using the following assumptions under the Black-Scholes option-pricing model:</w:t>
      </w:r>
    </w:p>
    <w:tbl>
      <w:tblPr>
        <w:tblW w:w="5225" w:type="dxa"/>
        <w:jc w:val="left"/>
        <w:tblInd w:w="0" w:type="dxa"/>
        <w:tblLayout w:type="fixed"/>
        <w:tblCellMar>
          <w:top w:w="28" w:type="dxa"/>
          <w:left w:w="28" w:type="dxa"/>
          <w:bottom w:w="28" w:type="dxa"/>
          <w:right w:w="28" w:type="dxa"/>
        </w:tblCellMar>
      </w:tblPr>
      <w:tblGrid>
        <w:gridCol w:w="765"/>
        <w:gridCol w:w="671"/>
        <w:gridCol w:w="679"/>
        <w:gridCol w:w="221"/>
        <w:gridCol w:w="755"/>
        <w:gridCol w:w="284"/>
        <w:gridCol w:w="109"/>
        <w:gridCol w:w="109"/>
        <w:gridCol w:w="109"/>
        <w:gridCol w:w="221"/>
        <w:gridCol w:w="755"/>
        <w:gridCol w:w="284"/>
        <w:gridCol w:w="109"/>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price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price of warrant</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(years)</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70.01 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Public Warrants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 in its IPO in August 2020, issued units that each consisted of one Class A ordinary share and one-half warrant to purchase a Class A ordinary share (the “Public warrants”). The warrants became exercisable 12 months following the closing of the Company’s IPO, and expire five years from the completion of the Merger, or earlier upon redemption or liquidation. On March 11, 2021, upon the closing of the Colonnade Merger each of the 999,999 outstanding warrants, as adjusted for any fractional warrants that were not issued upon separation, was converted automatically into a redeemable Public warrant to purchase one share of the Company’s common stock. As adjusted for the Reverse Stock Split, each 10 Public warrants is exercisable for one share of Ouster common stock at an exercise price of $115.00 per share with no fractional shares issuable upon exercise of a warrant. The Public warrants were recognized as equity upon the Merger in the amount of $17.9 million.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their expiration, the Company may redeem the Public warrants at a price of $0.10 per warrant, provided that the closing price of the Company’s common stock equals or exceeds $180.00 per share for any 20 trading days within a 30 trading-day period ending on the third trading day prior to the date on which the Company gives proper notice of such redemption to the warrants holders.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assumed 5,973,170 outstanding public warrants upon closing the Velodyne Merger to purchase shares of the Company’s common stock (the “Velodyne Public warrants”). Each warrant entitles the holder to purchase 0.06153 shares of the Company’s common stock. Each 10 Velodyne Public warrants is exercisable for 0.6153 shares of the Company’s common stock at an exercise price of $140.20 per 0.6153 share of common stock, with no fractional shares being issuable upon exercise of a warrant. The warrants are exercisable at any time and expire in September 2025. The Company may redeem the outstanding warrants in whole and not in part at a price of $0.10 per warrant at any time after they become exercisable, provided that the last sale price of the Company’s common stock equals or exceeds $219.41 per share, subject to adjustments, for any 20-trading days within a 30-trading day period ending three business days prior to the date on which the Company sends the notice of redemption to the warrant holders. The Velodyne Public warrants were recognized as equity upon the Velodyne Merger.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Amazon Warrant</w:t>
      </w:r>
    </w:p>
    <w:p>
      <w:pPr>
        <w:pStyle w:val="TextBody"/>
        <w:bidi w:val="0"/>
        <w:spacing w:lineRule="auto" w:line="288" w:before="180" w:after="283"/>
        <w:jc w:val="left"/>
        <w:rPr/>
      </w:pPr>
      <w:r>
        <w:rPr>
          <w:rFonts w:ascii="Times New Roman;sans-serif" w:hAnsi="Times New Roman;sans-serif"/>
          <w:b w:val="false"/>
          <w:color w:val="000000"/>
          <w:sz w:val="20"/>
        </w:rPr>
        <w:t>On February 10, 2023, as part of the Velodyne Merger, the Company assumed a warrant agreement and a transaction agreement, pursuant to which Velodyne agreed to issue to Amazon.com NV Investment Holdings LLC, a wholly-owned subsidiary of Amazon Inc. (“Amazon”), a warrant to acquire, following customary antidilution adjustments, up to an aggregate of 3,263,898</w:t>
      </w:r>
      <w:r>
        <w:rPr>
          <w:color w:val="000000"/>
        </w:rPr>
        <w:t xml:space="preserve"> </w:t>
      </w:r>
      <w:r>
        <w:rPr>
          <w:rFonts w:ascii="Times New Roman;sans-serif" w:hAnsi="Times New Roman;sans-serif"/>
          <w:b w:val="false"/>
          <w:color w:val="000000"/>
          <w:sz w:val="20"/>
        </w:rPr>
        <w:t>shares of the Company’s common stock at an exercise price of $50.71 per share (the “Amazon Warrant”). The exercise price and the warrant shares issuable upon exercise of the Amazon Warrant are subject to further antidilution adjustments, including in the event the Company makes certain sales of common stock (or securities exercisable or convertible into or exchangeable for shares of the Company’s common stock) at a price less than the exercise price of the Amazon Warrant. As a result of the issuance and sale by the Company of an additional 2,878,875 shares of common stock in the twelve months ended December 31, 2023 pursuant to the At-Market-Issuance Sales Agreement at prices below the exercise price of the Amazon Warrant, an antidilution adjustment to the terms of the Amazon Warrant occurred (see Note 11), resulting in the increase in the number of shares issuable under the Amazon Warrant by 618 shares of common stock and a reduction to the original strike price of the Amazon Warrant to $50.70 per share. As of December 31, 2023, there were 3,264,516 shares of common stock issuable under the Amazon Warrant.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Amazon Warrant is subject to vesting. As a result of the Velodyne Merger, 50% of the unvested Amazon Warrant as of the date of the Velodyne Merger have vested and the remainder will vest over time based on payments by Amazon or its affiliates to us in connection with Amazon’s purchase of goods and services from the Company. The vested portion of the Amazon Warrant, representing 1,848,694 shares of Ouster common stock with a fair value of $8.6 million, was included in the Velodyne Merger purchase price consideration on February 10,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Amazon Warrant shares vest in multiple tranches over time based on payments of up to $100.0 million by Amazon or its affiliates (directly or indirectly through third parties) to the Company in connection with Amazon’s purchase of goods and services. The fair value of the unvested Amazon Warrant, representing 1,330,903 unvested Ouster common stock shares will be recognized as a non-cash stock-based reduction to revenue when Amazon makes payments and vesting conditions become probable of being achieved.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56,613 Amazon Warrant shares vested and the Company recognized non-cash stock-based reduction to revenue of $0.5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Amazon Warrant shares was estimated on February 10, 2023, the date of completion of the Velodyne Merger, using the Black-Scholes option pricing model on the remaining contractual term of 6.98 years, an expected volatility of 53.7%, a 3.86% risk-free interest rate and a 0% expected dividend yield. The Company estimated expected volatility by using historical volatility of the Company’s publicly traded stock and historical volatility of a group of publicly traded peer companies for the period commencing February 16, 2016 and ending on the date of the Merger.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right to exercise the Amazon Warrant and receive the warrant shares that have vested expires February 4, 2030.</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1,933,613 Amazon Warrant shares have vested.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8. Leases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leases its headquarters located in San Francisco, California, where the Company lease properties as follows: (i) 26,125 square feet of office space pursuant to a lease that is scheduled to expire in August 2027 and (ii) 20,032 square feet of office space in a building adjacent to our corporate headquarters, which term is scheduled to expire in August 2027. Prior to 2023, the Company had executed or assumed as lessee other five operating leases for rental of office space. The terms of those leases range from 1 to 3 years.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10, 2023, the Company assumed long-term non-cancellable lease agreements stemming from the Velodyne Merger: (i) approximately 204,000 square feet of office and manufacturing space in San Jose, California and (ii) additional space pursuant to the assumed leases for offices located in Alameda, California; and Bengaluru, India.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was as follows:</w:t>
      </w:r>
    </w:p>
    <w:tbl>
      <w:tblPr>
        <w:tblW w:w="5310" w:type="dxa"/>
        <w:jc w:val="left"/>
        <w:tblInd w:w="0" w:type="dxa"/>
        <w:tblLayout w:type="fixed"/>
        <w:tblCellMar>
          <w:top w:w="28" w:type="dxa"/>
          <w:left w:w="28" w:type="dxa"/>
          <w:bottom w:w="28" w:type="dxa"/>
          <w:right w:w="28" w:type="dxa"/>
        </w:tblCellMar>
      </w:tblPr>
      <w:tblGrid>
        <w:gridCol w:w="1207"/>
        <w:gridCol w:w="1059"/>
        <w:gridCol w:w="1064"/>
        <w:gridCol w:w="255"/>
        <w:gridCol w:w="256"/>
        <w:gridCol w:w="292"/>
        <w:gridCol w:w="109"/>
        <w:gridCol w:w="109"/>
        <w:gridCol w:w="109"/>
        <w:gridCol w:w="255"/>
        <w:gridCol w:w="256"/>
        <w:gridCol w:w="339"/>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w:t>
            </w:r>
          </w:p>
        </w:tc>
        <w:tc>
          <w:tcPr>
            <w:tcW w:w="8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incurred total lease costs in its consolidated statements of operations and comprehensive loss of $8.1 million and $3.9 million for the years ended December 31, 2023 and 2022,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determined that the lease office facility located in Bengalaru, India assumed in the Velodyne Merger was not needed to support the future growth of its business. The Company fully vacated the facilities in March 2023 and remained contractually obligated to the lessor for the underlying lease. The Company recorded $0.8 million for right-of-use asset impairment in connection with these leased office facilities in the three months ended March 31, 2023. In the twelve months ended December 31, 2023, the Company recorded $0.8 million gain on lease modification due to the termination of its Bengalaru, India lease.</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350 Treat Building Lease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2017, the Company entered into a lease agreement (the “350 Treat Building Lease”) to lease approximately 26,125 square feet of office and warehouse space located in San Francisco, California for its corporate headquarters.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2021, the Company entered into an amendment to the 350 Treat Building Lease agreement, whereby the parties agreed to extend the term of the lease for an additional four years and seven months and provided for an additional tenant improvement allowance. The total base lease payments for the extended period of 4.6 years equals $7.6 million. The amendment resulted in an adjustment of $5.5 million to the right-of-use asset and right-of-use operating lease liability which was recorded in November 2021. As of December 31, 2023 the remaining lease term is 3.7 years that expires on August 31, 2027. In addition to minimum lease payments, the lease requires the Company to pay associated taxes and operating costs.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350 Treat Building Lease is considered to be an operating lease as it does not meet the criteria of a finance lease. As of December 31, 2023, the operating lease right-of-use asset and operating lease liability were $4.5 million and $6.0 million, respectively. As of December 31, 2022, the operating lease right-of-use asset and operating lease liability were $5.6 million and $7.1 million, respectively. The discount rate used to determine the lease liability was 3.7%.</w:t>
      </w:r>
    </w:p>
    <w:p>
      <w:pPr>
        <w:pStyle w:val="TextBody"/>
        <w:bidi w:val="0"/>
        <w:spacing w:lineRule="auto" w:line="288" w:before="360" w:after="283"/>
        <w:jc w:val="left"/>
        <w:rPr/>
      </w:pPr>
      <w:r>
        <w:rPr>
          <w:rFonts w:ascii="Times New Roman;sans-serif" w:hAnsi="Times New Roman;sans-serif"/>
          <w:b w:val="false"/>
          <w:i/>
          <w:color w:val="000000"/>
          <w:sz w:val="20"/>
        </w:rPr>
        <w:t>2741 16</w:t>
      </w:r>
      <w:r>
        <w:rPr>
          <w:rFonts w:ascii="Times New Roman;sans-serif" w:hAnsi="Times New Roman;sans-serif"/>
          <w:b w:val="false"/>
          <w:i/>
          <w:color w:val="000000"/>
          <w:sz w:val="11"/>
        </w:rPr>
        <w:t>th</w:t>
      </w:r>
      <w:r>
        <w:rPr>
          <w:color w:val="000000"/>
        </w:rPr>
        <w:t> </w:t>
      </w:r>
      <w:r>
        <w:rPr>
          <w:rFonts w:ascii="Times New Roman;sans-serif" w:hAnsi="Times New Roman;sans-serif"/>
          <w:b w:val="false"/>
          <w:i/>
          <w:color w:val="000000"/>
          <w:sz w:val="20"/>
        </w:rPr>
        <w:t>Street Lease</w:t>
      </w:r>
    </w:p>
    <w:p>
      <w:pPr>
        <w:pStyle w:val="TextBody"/>
        <w:bidi w:val="0"/>
        <w:spacing w:lineRule="auto" w:line="288" w:before="120" w:after="283"/>
        <w:jc w:val="left"/>
        <w:rPr/>
      </w:pPr>
      <w:r>
        <w:rPr>
          <w:rFonts w:ascii="Times New Roman;sans-serif" w:hAnsi="Times New Roman;sans-serif"/>
          <w:b w:val="false"/>
          <w:color w:val="000000"/>
          <w:sz w:val="20"/>
        </w:rPr>
        <w:t>In September 2017 the Company entered into a lease agreement (the “2741 16</w:t>
      </w:r>
      <w:r>
        <w:rPr>
          <w:rFonts w:ascii="Times New Roman;sans-serif" w:hAnsi="Times New Roman;sans-serif"/>
          <w:b w:val="false"/>
          <w:color w:val="000000"/>
          <w:sz w:val="11"/>
        </w:rPr>
        <w:t>th</w:t>
      </w:r>
      <w:r>
        <w:rPr>
          <w:color w:val="000000"/>
        </w:rPr>
        <w:t> </w:t>
      </w:r>
      <w:r>
        <w:rPr>
          <w:rFonts w:ascii="Times New Roman;sans-serif" w:hAnsi="Times New Roman;sans-serif"/>
          <w:b w:val="false"/>
          <w:color w:val="000000"/>
          <w:sz w:val="20"/>
        </w:rPr>
        <w:t xml:space="preserve">Street Lease”) to lease approximately 20,032 square feet of office space and 25,000 of parking space located in San Francisco, California. </w:t>
      </w:r>
    </w:p>
    <w:p>
      <w:pPr>
        <w:pStyle w:val="TextBody"/>
        <w:bidi w:val="0"/>
        <w:spacing w:lineRule="auto" w:line="288" w:before="120" w:after="283"/>
        <w:jc w:val="left"/>
        <w:rPr/>
      </w:pPr>
      <w:r>
        <w:rPr>
          <w:rFonts w:ascii="Times New Roman;sans-serif" w:hAnsi="Times New Roman;sans-serif"/>
          <w:b w:val="false"/>
          <w:color w:val="000000"/>
          <w:sz w:val="20"/>
        </w:rPr>
        <w:t>In May 2020, the Company entered into an amendment to the 2741 16</w:t>
      </w:r>
      <w:r>
        <w:rPr>
          <w:rFonts w:ascii="Times New Roman;sans-serif" w:hAnsi="Times New Roman;sans-serif"/>
          <w:b w:val="false"/>
          <w:color w:val="000000"/>
          <w:sz w:val="11"/>
        </w:rPr>
        <w:t>th</w:t>
      </w:r>
      <w:r>
        <w:rPr>
          <w:color w:val="000000"/>
        </w:rPr>
        <w:t> </w:t>
      </w:r>
      <w:r>
        <w:rPr>
          <w:rFonts w:ascii="Times New Roman;sans-serif" w:hAnsi="Times New Roman;sans-serif"/>
          <w:b w:val="false"/>
          <w:color w:val="000000"/>
          <w:sz w:val="20"/>
        </w:rPr>
        <w:t>Street Lease agreement, whereby the parties agreed to extend the term of the lease for an additional four years, restructure the monthly rent payable under the lease and provide for an additional tenant improvement allowance. The total base lease payments for the extended period of 4.0 years equals $8.5 million and the increase in total base lease payments for the lease term provided for by the original agreement is $0.7 million. The amendment resulted in an adjustment of $6.2 million to the right-of-use asset and right-of-use operating lease liability which was recorded in May 2020. As of December 31, 2023 the remaining lease term is 3.7 years that expires on August 31, 2027. In addition to minimum lease payments, the lease requires the Company to pay associated taxes and operating costs.</w:t>
      </w:r>
    </w:p>
    <w:p>
      <w:pPr>
        <w:pStyle w:val="TextBody"/>
        <w:bidi w:val="0"/>
        <w:spacing w:lineRule="auto" w:line="288" w:before="120" w:after="283"/>
        <w:jc w:val="left"/>
        <w:rPr/>
      </w:pPr>
      <w:r>
        <w:rPr>
          <w:rFonts w:ascii="Times New Roman;sans-serif" w:hAnsi="Times New Roman;sans-serif"/>
          <w:b w:val="false"/>
          <w:color w:val="000000"/>
          <w:sz w:val="20"/>
        </w:rPr>
        <w:t>The 2741 16</w:t>
      </w:r>
      <w:r>
        <w:rPr>
          <w:rFonts w:ascii="Times New Roman;sans-serif" w:hAnsi="Times New Roman;sans-serif"/>
          <w:b w:val="false"/>
          <w:color w:val="000000"/>
          <w:sz w:val="11"/>
        </w:rPr>
        <w:t>th</w:t>
      </w:r>
      <w:r>
        <w:rPr>
          <w:color w:val="000000"/>
        </w:rPr>
        <w:t> </w:t>
      </w:r>
      <w:r>
        <w:rPr>
          <w:rFonts w:ascii="Times New Roman;sans-serif" w:hAnsi="Times New Roman;sans-serif"/>
          <w:b w:val="false"/>
          <w:color w:val="000000"/>
          <w:sz w:val="20"/>
        </w:rPr>
        <w:t>Street Lease is considered to be an operating lease as it does not meet the criteria of a finance lease. As of December 31, 2023, the operating lease right-of-use asset and lease liability were $5.3 million and $7.1 million, respectively. As of December 31, 2022, the operating lease right-of-use asset and operating lease liability were $6.5 million and $8.7 million, respectively. The discount rate used to determine the operating lease liability was 5.25%.</w:t>
      </w:r>
    </w:p>
    <w:p>
      <w:pPr>
        <w:pStyle w:val="TextBody"/>
        <w:bidi w:val="0"/>
        <w:spacing w:lineRule="auto" w:line="288" w:before="360" w:after="283"/>
        <w:jc w:val="left"/>
        <w:rPr/>
      </w:pPr>
      <w:r>
        <w:rPr>
          <w:rFonts w:ascii="Times New Roman;sans-serif" w:hAnsi="Times New Roman;sans-serif"/>
          <w:b w:val="false"/>
          <w:i/>
          <w:color w:val="000000"/>
          <w:sz w:val="20"/>
        </w:rPr>
        <w:t>5521 Hellyer Avenue Lease</w:t>
      </w:r>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the Velodyne Merger, the Company assumed a long-term non-cancellable lease agreement of 5521 Hellyer Avenue (the “5521 Hellyer Avenue Lease”), which was entered into in January 2017, to lease approximately 204,000 square feet of office, research and development, manufacturing and storage space in San Jose, California.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2019, as part of the second amendment to the 5521 Hellyer Avenue Lease, the lease term was extended for an additional five years ending in December 31, 2027. The total base lease payments for the extended period of 5.0 years equals $17.6 million. As of December 31, 2023, the operating lease right-of-use asset and operating lease liability were $8.4 million and $12.0 million, respectively. The discount rate used to determine the operating lease liability was 9.75%.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360" w:after="283"/>
        <w:jc w:val="left"/>
        <w:rPr/>
      </w:pPr>
      <w:r>
        <w:rPr>
          <w:rFonts w:ascii="Times New Roman;sans-serif" w:hAnsi="Times New Roman;sans-serif"/>
          <w:b w:val="false"/>
          <w:i/>
          <w:color w:val="000000"/>
          <w:sz w:val="20"/>
        </w:rPr>
        <w:t xml:space="preserve">Other operating real estate </w:t>
      </w:r>
      <w:r>
        <w:rPr>
          <w:rFonts w:ascii="Times New Roman;sans-serif" w:hAnsi="Times New Roman;sans-serif"/>
          <w:b w:val="false"/>
          <w:color w:val="000000"/>
          <w:sz w:val="20"/>
        </w:rPr>
        <w:t>leases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executed or assumed as lessee operating leases for rental of office space. The terms of those leases range from 1 to 3 years. The Company is obligated to make lease payments totaling approximately $0.4 million for those leases over the respective lease terms.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cost for the years ended December 31, 2023 and 2022 was $8.1 million and $3.9 million, which consisted of $7.4 million and $3.8 million of fixed lease expense and $0.7 million and $0.1 million of variable lease expense, respectively. Cash paid for amounts included in the measurement of lease liabilities was $7.0 million and $4.0 million for the years ended December 31, 2023 and 2022, respectively.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maturities of the operating lease liabilities as of December 31, 2023 were as follows (in thousands):</w:t>
      </w:r>
    </w:p>
    <w:tbl>
      <w:tblPr>
        <w:tblW w:w="4070" w:type="dxa"/>
        <w:jc w:val="left"/>
        <w:tblInd w:w="0" w:type="dxa"/>
        <w:tblLayout w:type="fixed"/>
        <w:tblCellMar>
          <w:top w:w="28" w:type="dxa"/>
          <w:left w:w="28" w:type="dxa"/>
          <w:bottom w:w="28" w:type="dxa"/>
          <w:right w:w="28" w:type="dxa"/>
        </w:tblCellMar>
      </w:tblPr>
      <w:tblGrid>
        <w:gridCol w:w="1080"/>
        <w:gridCol w:w="950"/>
        <w:gridCol w:w="954"/>
        <w:gridCol w:w="211"/>
        <w:gridCol w:w="721"/>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9. Commitments and Contingencies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Letters of credit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certain office leasehold interests in real property located in San Francisco (350 Treat Ave and, 2741 16th Street) and in Paris, the Company obtained letters of credit from certain banks as required by the lease agreements. If the Company defaults under the terms of the applicable lease, the lessor will be entitled to draw upon the letters of credit in the amount necessary to cure the default. The amounts covered by the letters of credit are collateralized by certificates of deposit, which are included in restricted cash on the consolidated balance sheets as of December 31, 2023 and 2022. The outstanding amount of the letters of credit was $1.4 million and $1.3 million as of December 31, 2023 and 2022, respectively.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Non-cancelable purchase commitments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non-cancelable purchase commitments to third-party contract manufacturers for approximately $23.4 million and other vendors for approximately $3.6 million.</w:t>
      </w:r>
    </w:p>
    <w:p>
      <w:pPr>
        <w:pStyle w:val="TextBody"/>
        <w:bidi w:val="0"/>
        <w:spacing w:lineRule="auto" w:line="288" w:before="36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Contingencies</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From time to time, the Company may be involved in legal and administrative proceedings arising in the ordinary course of business. The Company records a liability in its consolidated financial statements for these matters when a loss is known or considered probable and the amount can be reasonably estimated. Management reviews these estimates in each accounting period as additional information becomes known and adjusts the loss provision when appropriate. If the loss is not probable or cannot be reasonably estimated, a liability is not recorded in the consolidated financial statements. If a loss is probable but the amount of loss cannot be reasonably estimated, the Company discloses the loss contingency and an estimate of possible loss or range of loss (unless such an estimate cannot be made). Legal costs incurred in connection with loss contingencies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36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Litigation</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is involved in various legal proceedings arising in the ordinary course of business. Significant judgment is required in both the determination of probability and the determination as to whether an exposure is reasonably estimable. Actual outcomes of these legal and regulatory proceedings may materially differ from our current estimates.</w:t>
      </w:r>
    </w:p>
    <w:p>
      <w:pPr>
        <w:pStyle w:val="TextBody"/>
        <w:bidi w:val="0"/>
        <w:spacing w:lineRule="auto" w:line="288" w:before="12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Velodyne Legacy Litigation</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 xml:space="preserve">On March 3, 2021, a purported shareholder of Velodyne filed a complaint for a putative class action against Velodyne, Anand Gopalan and Andrew Hamer in the United States District Court, Northern District of California, entitled </w:t>
      </w:r>
      <w:r>
        <w:rPr>
          <w:rFonts w:ascii="Times New Roman;sans-serif" w:hAnsi="Times New Roman;sans-serif"/>
          <w:b w:val="false"/>
          <w:i/>
          <w:color w:val="000000"/>
          <w:sz w:val="20"/>
          <w:shd w:fill="FFFFFF" w:val="clear"/>
        </w:rPr>
        <w:t>Moradpour v. Velodyne Lidar, Inc., et al.</w:t>
      </w:r>
      <w:r>
        <w:rPr>
          <w:rFonts w:ascii="Times New Roman;sans-serif" w:hAnsi="Times New Roman;sans-serif"/>
          <w:b w:val="false"/>
          <w:color w:val="000000"/>
          <w:sz w:val="20"/>
          <w:shd w:fill="FFFFFF" w:val="clear"/>
        </w:rPr>
        <w:t>, No. 3:21-cv01486-SI. The complaint alleged purported violations of the federal securities laws and that, among other things, the defendants made materially false and/or misleading statements and failed to disclose material facts about Velodyne’s business, operations and prospects, including with respect to David Hall’s role with Velodyne and removal as Chairman of Velodyne’s Board of Directors. The complaint alleged that purported class members have suffered losses and sought, among other things, an award of compensatory damages on behalf of a putative class of persons who purchased or otherwise acquired Velodyne’s securities between November 9, 2020 and February 19, 2021.</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 xml:space="preserve">On March 12, 2021, a putative class action entitled </w:t>
      </w:r>
      <w:r>
        <w:rPr>
          <w:rFonts w:ascii="Times New Roman;sans-serif" w:hAnsi="Times New Roman;sans-serif"/>
          <w:b w:val="false"/>
          <w:i/>
          <w:color w:val="000000"/>
          <w:sz w:val="20"/>
          <w:shd w:fill="FFFFFF" w:val="clear"/>
        </w:rPr>
        <w:t>Reese v. Velodyne Lidar, Inc., et al.</w:t>
      </w:r>
      <w:r>
        <w:rPr>
          <w:rFonts w:ascii="Times New Roman;sans-serif" w:hAnsi="Times New Roman;sans-serif"/>
          <w:b w:val="false"/>
          <w:color w:val="000000"/>
          <w:sz w:val="20"/>
          <w:shd w:fill="FFFFFF" w:val="clear"/>
        </w:rPr>
        <w:t xml:space="preserve">, No. 3:21-cv-01736-VC, was filed against Velodyne, Mr. Gopalan and Mr. Hamer in the United States District Court for the Northern District of California, based on allegations similar to those in the earlier class action and seeking recovery on behalf of the same putative class. On March 19, 2021, another putative class action entitled </w:t>
      </w:r>
      <w:r>
        <w:rPr>
          <w:rFonts w:ascii="Times New Roman;sans-serif" w:hAnsi="Times New Roman;sans-serif"/>
          <w:b w:val="false"/>
          <w:i/>
          <w:color w:val="000000"/>
          <w:sz w:val="20"/>
          <w:shd w:fill="FFFFFF" w:val="clear"/>
        </w:rPr>
        <w:t>Nick v. Velodyne Lidar, Inc., et al.</w:t>
      </w:r>
      <w:r>
        <w:rPr>
          <w:rFonts w:ascii="Times New Roman;sans-serif" w:hAnsi="Times New Roman;sans-serif"/>
          <w:b w:val="false"/>
          <w:color w:val="000000"/>
          <w:sz w:val="20"/>
          <w:shd w:fill="FFFFFF" w:val="clear"/>
        </w:rPr>
        <w:t>, No. 4:21-cv-01950-JST, was filed in the United States District Court for the Northern District of California, against Velodyne, Mr. Gopalan, Mr. Hamer, two current or former directors, and three other entities. The complaint was based on allegations similar to those in the earlier class actions and sought, among other things, an award of compensatory damages on behalf of a putative class of persons who purchased or otherwise acquired Velodyne’s securities between July 2, 2020 and March 17, 2021. The class actions have been consolidated, lead plaintiffs have been appointed and an amended consolidated complaint was filed on September 1, 2021, based on allegations similar to those in the earlier class actions. Velodyne filed a motion to dismiss the amended and consolidated complaint on November 1, 2021. The plaintiffs filed a first amended complaint on February 11, 2022. Velodyne filed a motion to dismiss on March 4, 2022. On July 1, 2022, the court denied the motion to dismiss as it relates to the claims related to David Hall’s role with Velodyne, but granted the motion to dismiss as to all other claims. On July 14, 2023, the Court granted Diane Smith’s motion for class certification. The Court encouraged the parties to conduct mediation and the parties conducted mediation.</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 xml:space="preserve">On March 13, 2024, the parties to the securities class action lawsuit entitled </w:t>
      </w:r>
      <w:r>
        <w:rPr>
          <w:rFonts w:ascii="Times New Roman;sans-serif" w:hAnsi="Times New Roman;sans-serif"/>
          <w:b w:val="false"/>
          <w:i/>
          <w:color w:val="000000"/>
          <w:sz w:val="20"/>
          <w:shd w:fill="FFFFFF" w:val="clear"/>
        </w:rPr>
        <w:t>Moradpour v. Velodyne Lidar, Inc., et al.</w:t>
      </w:r>
      <w:r>
        <w:rPr>
          <w:rFonts w:ascii="Times New Roman;sans-serif" w:hAnsi="Times New Roman;sans-serif"/>
          <w:b w:val="false"/>
          <w:color w:val="000000"/>
          <w:sz w:val="20"/>
          <w:shd w:fill="FFFFFF" w:val="clear"/>
        </w:rPr>
        <w:t>, No. 3:21-cv01486-SI (N.D. Cal.) filed a stipulation of settlement to settle this lawsuit, without any admission or concession of wrongdoing or liability by Velodyne or the individual defendants. The settlement is subject to, among other things, final documentation and court approval. The proposed settlement provides for a payment of $27.5 million, of which the Company expects approximately $23.4 million to be funded by insurance proceeds. The Company accrued for and recorded the entire amount of this $27.5 million settlement liability and recorded the expense within general and administrative expenses in 2023 after concluding that such settlement amount is probable and reasonably estimable. As of December 31, 2023, the Company recorded an insurance receivable of $23.4 million in prepaid expenses and other current assets to be funded by insurance proceeds based on the terms of the settlement. The $23.4 million insurance proceeds allows the Company to recover the majority of the settlement expense, resulting in a net charge of $4.1 million in its consolidated statement of operations. The Company will continue to assess the probable amount of insurance proceeds expected to be received in future reporting periods based on any additional facts that arise and make adjustments, if necessary.</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 xml:space="preserve">On March 12, 2021, a putative shareholder derivative lawsuit entitled </w:t>
      </w:r>
      <w:r>
        <w:rPr>
          <w:rFonts w:ascii="Times New Roman;sans-serif" w:hAnsi="Times New Roman;sans-serif"/>
          <w:b w:val="false"/>
          <w:i/>
          <w:color w:val="000000"/>
          <w:sz w:val="20"/>
          <w:shd w:fill="FFFFFF" w:val="clear"/>
        </w:rPr>
        <w:t>D’Arcy v. Gopalan, et al.</w:t>
      </w:r>
      <w:r>
        <w:rPr>
          <w:rFonts w:ascii="Times New Roman;sans-serif" w:hAnsi="Times New Roman;sans-serif"/>
          <w:b w:val="false"/>
          <w:color w:val="000000"/>
          <w:sz w:val="20"/>
          <w:shd w:fill="FFFFFF" w:val="clear"/>
        </w:rPr>
        <w:t xml:space="preserve">, No. 1:21-cv-00369-MN, was filed in the United States District Court for the District of Delaware against current and former directors and/or officers Anand Gopalan, Andrew Hamer, David S. Hall, Marta Thoma Hall, Joseph B. Culkin, Michael E. Dee, James A. Graf, Barbara Samardzich, and Christopher A. Thomas, and names Velodyne as a nominal defendant. The complaint asserted claims for breach of fiduciary duty, unjust enrichment, abuse of control, gross mismanagement, and waste of corporate assets against all of the individual defendants, and asserted a contribution claim under the federal securities laws against Mr. Gopalan and Mr. Hamer. On March 16, 2021, a second shareholder derivative lawsuit entitled </w:t>
      </w:r>
      <w:r>
        <w:rPr>
          <w:rFonts w:ascii="Times New Roman;sans-serif" w:hAnsi="Times New Roman;sans-serif"/>
          <w:b w:val="false"/>
          <w:i/>
          <w:color w:val="000000"/>
          <w:sz w:val="20"/>
          <w:shd w:fill="FFFFFF" w:val="clear"/>
        </w:rPr>
        <w:t>Kondner, et al. v. Culkin, et al.</w:t>
      </w:r>
      <w:r>
        <w:rPr>
          <w:rFonts w:ascii="Times New Roman;sans-serif" w:hAnsi="Times New Roman;sans-serif"/>
          <w:b w:val="false"/>
          <w:color w:val="000000"/>
          <w:sz w:val="20"/>
          <w:shd w:fill="FFFFFF" w:val="clear"/>
        </w:rPr>
        <w:t>, No. 1:21cv-00391-MN, was filed in the United States District Court for the District of Delaware against most of the same defendants named in the earlier derivative complaint, and asserted claims against the individual defendants for alleged breaches of fiduciary duty and waste of corporate assets. Both derivative actions are based on allegations similar to those in the class actions discussed above, and have now been consolidated. On January 3, 2022, the plaintiffs filed an amended complaint. On November 7, 2023, the court approved the parties’ stipulation to dismiss the derivative action and directed that the case be closed.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January 18, 2022, David and Marta Hall filed a lawsuit in the Superior Court of California, County of Alameda, against current and former officers and directors of Velodyne, as well as Jeff Vetter, Velodyne’s outside counsel. The Halls sought to recover damages for financial and other injuries they allegedly sustained as a result of the merger between Graf and Velodyne. On May 3, 2022, certain defendants filed motions to compel arbitration and other defendants filed motions to quash service of process for lack of personal jurisdiction. The court conducted a hearing on the motions on July 20, 2022. On August 30, 2022, the court granted the motion to quash service with respect the out of state defendants. On October 3, 2022, the court granted the motion to compel Mr. Hall to arbitrate his claims, and stayed proceedings on Ms. Hall’s claims pending arbitration of Mr. Hall’s claims. On October 20, 2022, the Halls voluntarily dismissed the action without prejudice. On January 3, 2023, the Halls filed an arbitration demand with substantially the same allegations as the prior lawsuit. On or about August 22, 2023, the Halls filed an application in Texas District Court, Dallas County to compel arbitration of Messrs. Graf and Dee who had been dismissed from the prior court action for lack of personal jurisdiction. Messrs. Graf and Dee agreed to participate in the arbitration and thus the Texas action has been stayed. The arbitrator has not yet set a schedule in the arbitration. The Company does not believe the claims are meritorious and intends to defend the action vigorously.</w:t>
      </w:r>
    </w:p>
    <w:p>
      <w:pPr>
        <w:pStyle w:val="TextBody"/>
        <w:bidi w:val="0"/>
        <w:spacing w:lineRule="auto" w:line="288" w:before="120" w:after="283"/>
        <w:jc w:val="left"/>
        <w:rPr/>
      </w:pPr>
      <w:r>
        <w:rPr>
          <w:rFonts w:ascii="Times New Roman;sans-serif" w:hAnsi="Times New Roman;sans-serif"/>
          <w:b w:val="false"/>
          <w:color w:val="000000"/>
          <w:sz w:val="20"/>
        </w:rPr>
        <w:t xml:space="preserve">On August 10, 2023, Plaintiffs David and Marta Hall filed a complaint against Velodyne in the Superior Court of California, County of San Francisco asserting claims for breach of contract and failure to reimburse expenses in violation of California Labor Code Section 2802 (the “2023 Hall Matter”). The 2023 Hall Matter seeks indemnification for legal fees incurred on the Halls’ behalf in connection with a derivative action against certain Velodyne officers and directors, and naming Velodyne as a nominal </w:t>
      </w:r>
      <w:r>
        <w:rPr>
          <w:rFonts w:ascii="Times New Roman;sans-serif" w:hAnsi="Times New Roman;sans-serif"/>
          <w:b w:val="false"/>
          <w:color w:val="000000"/>
          <w:sz w:val="20"/>
          <w:shd w:fill="FFFFFF" w:val="clear"/>
        </w:rPr>
        <w:t>defendant</w:t>
      </w:r>
      <w:r>
        <w:rPr>
          <w:rFonts w:ascii="Times New Roman;sans-serif" w:hAnsi="Times New Roman;sans-serif"/>
          <w:b w:val="false"/>
          <w:color w:val="000000"/>
          <w:sz w:val="20"/>
        </w:rPr>
        <w:t>, captioned In Re Velodyne Lidar, Inc. Derivative Action, Case No. 1:21-cv-00369-TMH (D. Del.). On November 21, 2023, Velodyne denied all allegations. The 2023 Hall Matter is set for trial on September 9, 2024. The Company does not believe the claims are meritorious and intends to defend the action vigorously.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8, 2021, Velodyne received a subpoena for documents related to Wei Weng’s trading in stock of Graf Acquisition Corp. (Velodyne’s predecessor) stock during 2020, prior to the announcement that Velodyne was planning to merge into Graf Acquisition Corp. Velodyne has complied with the SEC’s requests to date; however, the SEC may request additional documents or information. No such follow up requests have been received to date.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 2022 and December 20, 2022, purported stockholders of Velodyne filed the following lawsuits against Velodyne and certain of its directors in the Southern District of New York for violations of Sections 14(a) and 20(a) of the Securities Exchange Act of 1934 and U.S. Securities and Exchange Commission ("SEC") Rule 14a-9: O’Dell v. Velodyne Lidar, Inc., et al., Civil Action No. 22-cv-10211, Carlisle v. Velodyne Lidar, Inc., et al., Civil Action No. 22-cv-10720. On December 29, 2022, a complaint alleging generally the same claims was filed in the United States District Court for the District of Delaware, captioned Wheeler v. Velodyne Lidar, Inc., et al., Civil Action No. 22-cv-01641-UNA. All of the lawsuits were voluntarily dismissed by the respective Plaintiffs. The parties settled for immaterial mootness fees in September 2023.</w:t>
      </w:r>
    </w:p>
    <w:p>
      <w:pPr>
        <w:pStyle w:val="TextBody"/>
        <w:bidi w:val="0"/>
        <w:spacing w:lineRule="auto" w:line="288" w:before="120" w:after="283"/>
        <w:jc w:val="left"/>
        <w:rPr/>
      </w:pPr>
      <w:r>
        <w:rPr>
          <w:rFonts w:ascii="Times New Roman;sans-serif" w:hAnsi="Times New Roman;sans-serif"/>
          <w:b w:val="false"/>
          <w:color w:val="000000"/>
          <w:sz w:val="20"/>
        </w:rPr>
        <w:t xml:space="preserve">On August 25, 2023, a putative shareholder class action suit was filed in the Delaware Court of Chancery against six former officers and directors of Graf Industrial Corp. (“GIC”), the predecessor entity of Velodyne, as well as two other entities, entitled </w:t>
      </w:r>
      <w:r>
        <w:rPr>
          <w:rFonts w:ascii="Times New Roman;sans-serif" w:hAnsi="Times New Roman;sans-serif"/>
          <w:b w:val="false"/>
          <w:i/>
          <w:color w:val="000000"/>
          <w:sz w:val="20"/>
        </w:rPr>
        <w:t>Berger v. Graf Acquisition, LLC, et al</w:t>
      </w:r>
      <w:r>
        <w:rPr>
          <w:rFonts w:ascii="Times New Roman;sans-serif" w:hAnsi="Times New Roman;sans-serif"/>
          <w:b w:val="false"/>
          <w:color w:val="000000"/>
          <w:sz w:val="20"/>
        </w:rPr>
        <w:t xml:space="preserve">., No. C.A. 2023 0873 LWW. The Company, GIC and Velodyne are not named as defendants. The plaintiff, who was allegedly a GIC shareholder, asserts claims for breach of fiduciary duty and unjust enrichment in connection with the merger of GIC and Velodyne on September 29, 2020, and seeks damages, disgorgement and other recovery on behalf of the putative class of GIC shareholders in an unspecified amount. The Company is obligated to indemnify such former officers and directors under certain circumstances. The Company does not believe the claims are meritorious.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Ouster Litigation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10, 2021, the Company received a letter from the SEC notifying us of an investigation and document subpoena. The subpoena seeks documents regarding projected financial information in CLA’s Form S-4 registration statement filed on December 22, 2020. On August 15, 2023, the SEC informed the Company that they have concluded the investigation and that they do not intend to recommend any enforcement action.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11, 2023, the Company filed a complaint with the United States International Trade Commission (the “Commission”) pursuant to 19 U.S.C. § 1337 (“Section 337”). The complaint requests that the Commission institute an investigation relating to the unlawful importation, sale for importation, and/or sale after importation into the United States by Hesai Group, Hesai Technology Co., Ltd., and Hesai Inc. (collectively “Hesai”) of certain LiDAR (Light Detection and Ranging) systems and/or components thereof. The complaint alleges that Hesai’s LiDAR products infringe certain claims of the Company’s U.S. Patent Nos. 11,175,405, 11,178,381, 11,190,750, 11,287,515 and/or 11,422,236. The complaint seeks the issuance of a permanent exclusion order and cease and desist order. On May 11, 2023, the Commission decided to institute an investigation based on the Company’s complaint as In the Matter of Certain LiDAR (Light Detection and Ranging) Systems and Components Thereof, 337-TA-1363. On May 25, 2023, the Administrative Law Judge issued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procedural schedule whereby the evidentiary hearing is set to begin on January 4, 2024, with a target date for completion of the Investigation by the Commission on October 17, 2024. On June 7, 2023, Hesai responded to the complaint and denied all allegations. On June 22, 2023, Hesai filed a motion to terminate or alternatively stay the investigation in light of an alleged agreement to arbitrate based on the Settlement Agreement signed in 2020 between Hesai and Velodyne (the "Settlement Agreement”). Hesai alleges that the Company is bound to the 2020 Settlement Agreement as a result of the Company’s merger with Velodyne in 2023. The Company has opposed the motion, including any allegation that the Company has any obligation to arbitrate or that its patents are subject to any terms of the 2020 Settlement Agreement, which the Company never signed. On August 24, 2023, the administrative law judge (“ALJ”) issued an initial determination granting the motion to terminate, holding that a valid arbitration agreement exists as part of the Settlement Agreement, and thus the Company has obligation to arbitrate. On August 31, 2023, the Company filed a petition for review of the initial determination with the Commission. On September 14, 2023, Hesai responded. On October 11, 2023, the Commission issued a notice of its determination to review and, on review, to affirm with modification the ALJ’s initial determination granting the motion to terminate the investigation in its entirety based upon the arbitration agreement. As a result, the investigation was terminated. The Company has until December 11, 2023 to file a notice of appeal with the Federal Circuit.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11, 2023, the Company also filed a complaint in the District of Delaware alleging patent infringement of the same patents as in the aforestated Section 337 proceeding against Hesai Group and Hesai Technology Co., Ltd. The complaint seeks monetary damages as well as the issuance of a permanent injunction. On May 30, 2023, the Court granted stay the case pending the resolution, including all appeals, of In the Matter of Certain LiDAR (Light Detection and Ranging) Systems and Components Thereof, 337-TA-1363.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17, 2023, Hesai Photonics Technology Co. Ltd. and Hesai Group (collectively “Hesai Photonics”) filed a request for arbitration with JAMS against the Company, Velodyne, Velodyne, LLC, and Oban Merger Sub II LLC. Hesai Photonics alleges that the Company is bound by the terms and conditions, including an obligation to arbitrate disputes, of a Settlement Agreement signed in 2020 between Hesai Photonics and Velodyne as a result of the Company’s 2023 merger with Velodyne. On June 13, 2023, the Company responded to the arbitration demand. The Company denied all allegations. The Company also disputed that there was an obligation to arbitrate, and thus, alleged that JAMS lacked jurisdiction. No further dates have been set.</w:t>
      </w:r>
    </w:p>
    <w:p>
      <w:pPr>
        <w:pStyle w:val="TextBody"/>
        <w:bidi w:val="0"/>
        <w:spacing w:lineRule="auto" w:line="288" w:before="120" w:after="283"/>
        <w:jc w:val="left"/>
        <w:rPr/>
      </w:pPr>
      <w:r>
        <w:rPr>
          <w:rFonts w:ascii="Times New Roman;sans-serif" w:hAnsi="Times New Roman;sans-serif"/>
          <w:b w:val="false"/>
          <w:color w:val="000000"/>
          <w:sz w:val="20"/>
        </w:rPr>
        <w:t>On September 14, September 25, and September 26, 2023, Hesai filed Petitions for</w:t>
      </w:r>
      <w:r>
        <w:rPr>
          <w:color w:val="000000"/>
        </w:rPr>
        <w:t xml:space="preserve"> </w:t>
      </w:r>
      <w:r>
        <w:rPr>
          <w:rFonts w:ascii="Times New Roman;sans-serif" w:hAnsi="Times New Roman;sans-serif"/>
          <w:b w:val="false"/>
          <w:i/>
          <w:color w:val="000000"/>
          <w:sz w:val="20"/>
        </w:rPr>
        <w:t xml:space="preserve">Inter Partes </w:t>
      </w:r>
      <w:r>
        <w:rPr>
          <w:rFonts w:ascii="Times New Roman;sans-serif" w:hAnsi="Times New Roman;sans-serif"/>
          <w:b w:val="false"/>
          <w:color w:val="000000"/>
          <w:sz w:val="20"/>
        </w:rPr>
        <w:t xml:space="preserve">Review with the Patent Trial and Appeal Board (“PTAB”) challenging the validity of the Company’s patents asserted in the ITC and Delaware patent actions. The Company has an opportunity to respond in late December 2023 and early January 2024. On March 19, 2024, the PTAB issued decisions to institute </w:t>
      </w:r>
      <w:r>
        <w:rPr>
          <w:rFonts w:ascii="Times New Roman;sans-serif" w:hAnsi="Times New Roman;sans-serif"/>
          <w:b w:val="false"/>
          <w:i/>
          <w:color w:val="000000"/>
          <w:sz w:val="20"/>
        </w:rPr>
        <w:t xml:space="preserve">inter partes </w:t>
      </w:r>
      <w:r>
        <w:rPr>
          <w:rFonts w:ascii="Times New Roman;sans-serif" w:hAnsi="Times New Roman;sans-serif"/>
          <w:b w:val="false"/>
          <w:color w:val="000000"/>
          <w:sz w:val="20"/>
        </w:rPr>
        <w:t>review for two of the five patents. The PTAB is expected to issue decisions on whether to institute inter parties review for the remaining three patents by April 3,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than as set forth above, as of December 31, 2023 the Company is unable to estimate a possible loss or range of losses in respect to those disclosed matters.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enters into agreements in the ordinary course of business that include indemnification provisions. Generally, in these provisions the Company agrees to defend, indemnify, and hold harmless the indemnified parties for claims and losses suffered or incurred by such indemnified parties for which the Company is responsible under the applicable indemnification provisions. The terms of the indemnification provisions vary depending upon negotiations between the Company and its counterpart; however, typically, these indemnification obligations survive the term of the contract and the maximum potential amount of future payments the Company could be required to make pursuant to these provisions are uncapped. To date, the Company has never incurred costs to defend lawsuits or settle claims related to these indemnification provisions.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also entered into indemnity agreements pursuant to which it has indemnified its directors and officers, to the extent legally permissible, against all liabilities reasonably incurred in connection with any action in which such individual may be involved by reason of such individual being or having been a director or executive officer, other than liabilities arising from willful misconduct of the individual. To date, the Company is indemnifying and has incurred costs to defend lawsuits or settle claims described above under the heading “Litigation” pursuant to the indemnity agreements of former directors and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10. Common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Second Amended and Restated Certificate of Incorporation, the Company is authorized to issue the following shares and classes of capital stock, each with a par value of $0.0001 per share: (i) 100,000,000 shares of common stock; (ii) 100,000,000 shares of preferred stock. The holder of each share of common stock is entitled to one vote.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29, 2022, the Company entered into the ATM Agreement pursuant to which the Company may, subject to the terms and conditions set forth in the agreement offer and sell, from time to time, through or to the agents, acting as agent or principal, shares of the Company’s common stock, par value $0.0001 per share, having an aggregate offering price of up to $150.0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and 2022, the Company sold 2,878,875 and 783,371 shares, respectively. The weighted-average sales price and gross proceeds to the Company before deducting offering costs, sales commissions and fees were approximately $5.67 and $21.48 per share and $33.1 million and $16.8 million, respectively, during the year ended December 31, 2023 and 2022. The Company plans to use the net proceeds from this offering for working capital and general corporate purposes.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remaining availability under the ATM Agreement as of December 31, 2023 is approximately $116.9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11. Stock-based Compensation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has five equity incentive plans: its Amended and Restated 2015 Stock Plan (the “2015 Plan”), the Sense Photonics, Inc. 2017 Equity Incentive Plan (the “Sense Plan”), the Velodyne Lidar, Inc. 2020 Equity Incentive Plan (the “Velodyne Plan”), its 2021 Incentive Award Plan (the “2021 Plan”) and its 2022 Employee Stock Purchase Plan (the “2022 ESPP” and, collectively with the 2015 Plan, the Sense Plan, the Velodyne Plan and the 2021 Plan, the “Plans”).</w:t>
      </w:r>
    </w:p>
    <w:p>
      <w:pPr>
        <w:pStyle w:val="TextBody"/>
        <w:bidi w:val="0"/>
        <w:spacing w:lineRule="auto" w:line="288" w:before="180" w:after="283"/>
        <w:jc w:val="left"/>
        <w:rPr/>
      </w:pPr>
      <w:r>
        <w:rPr>
          <w:rFonts w:ascii="Times New Roman;sans-serif" w:hAnsi="Times New Roman;sans-serif"/>
          <w:b w:val="false"/>
          <w:color w:val="000000"/>
          <w:sz w:val="20"/>
        </w:rPr>
        <w:t>The Plans, other than the 2022 ESPP, provide for the grant of stock options, stock appreciation rights, restricted stock awards (“RSAs”), restricted stock units (“RSUs”), performance stock unit awards and other forms of equity compensation (collectively, “equity awards”). In addition, the 2021 Plan provides for the grant of performance bonus awards. New equity awards may only be granted under the Velodyne Plan and the 2021 Plan. Awards under the Velodyne Plan may be granted to employees, including officers, and other service providers who were not previously employed by or who did not previously provide services to the Company or a subsidiary of the Company, in each case, prior to February 10, 2023, within the limits provided in the Velodyne Plan.</w:t>
      </w:r>
      <w:r>
        <w:rPr>
          <w:color w:val="000000"/>
        </w:rPr>
        <w:t xml:space="preserve"> </w:t>
      </w:r>
      <w:r>
        <w:rPr>
          <w:rFonts w:ascii="Times New Roman;sans-serif" w:hAnsi="Times New Roman;sans-serif"/>
          <w:b w:val="false"/>
          <w:color w:val="000000"/>
          <w:sz w:val="20"/>
        </w:rPr>
        <w:t>Awards under the 2021 Plan can also be granted to employees, including officers, directors and consultants of the Company and its subsidiaries, in each case, within the limits provided in the 2021 Plan.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under the Plans will be exercisable at such times and as specified in the Award Agreement (as defined in the Plans) provided that the term of an option or stock appreciation will not exceed ten years. Options granted under the Plans may be Incentive Stock Options (ISOs) or Non-statutory Stock Options, as determined by the Administrator (as defined in the Plans) at the time of grant of an option and subject to the applicable provisions of Section 422 of the Internal Revenue Code and the regulations promulgated thereunder. The exercise price of an option will be no less than 100% of the fair market value of the shares of common stock on the date of grant. The exercise price of an ISO granted to a 10% shareholder will be no less than 110% of the fair market value of the shares on the date of grant and the term of the ISO will not exceed five years. Options granted generally vest over four years and vest at a rate of 25% upon the first anniversary of the issuance date and 1/36th per month thereafter. The Company accounts for forfeitures as they occur.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and restricted stock units granted to employees generally vest as to 25% of the shares on the first anniversary service date of the grant, and quarterly thereafter so as to be 100% vested on the fourth anniversary of the vesting commencement date. All participants holding shares of restricted stock will be entitled to all the rights of a stockholder with respect to such shares and have voting power and other rights with respect to such shares, provided, however, that such shares are held in escrow and subject to forfeiture until the shares vested.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exercise price of stock options granted before the Colonnade Merger were determined based on the fair value of stock at the date of grant obtained by the Company on a contemporaneous basis from an independent valuation firm. The valuation firm used a PWERM to estimate the aggregate enterprise value of the Company at each valuation date. The PWERM involves applying appropriate risk adjusted discount rates to future values for the enterprise assuming various possible scenarios. The projections used in connection with these valuations were based on the Company’s expected operating performance over the forecast period. Share value is based on the probability-weighted present value of expected future returns to the equity investor considering each of the likely future scenarios available to the enterprise, and the rights and preferences of each share class.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employees have the right to early exercise unvested stock options, subject to rights held by the Company to repurchase unvested shares in the event of voluntary or involuntary termination. The Company accounts for cash received in consideration for the early exercise of unvested stock options as a non-current liability, included as a component of other liabilities in the Company’s consolidated balance sheets.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2021 Incentive Award Plan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11, 2021, the board of directors approved the 2021 Plan. 18,558,576 shares of the Company’s common stock were initially reserved for issuance under the 2021 Plan. The 2021 Plan includes an evergreen provision that provides for an annual increase in the number of shares of common stock available for issuance thereunder beginning on January 1, 2022 and ending on January 1, 2031, equal to 5% of the shares of Company common stock outstanding on the last day of the immediately preceding fiscal year and such smaller number of shares as determined by the board of directors or a committee thereof.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2015 Stock Plan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2015, the Company established its 2015 Stock Plan. As of March 11, 2021, the effective time of the Colonnade Merger, the Company no longer grants equity awards pursuant to the 2015 Plan, but it continues to govern the terms of outstanding stock options that were granted prior to that date.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2022 Employee Stock Purchase Plan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2022 ESPP has been offered to all eligible employees since August 2022 and generally permits certain employees to purchase shares of our common stock through payroll deductions of up to 15% of their compensation of each offering period, subject to certain limitations.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2022 ESPP provides offering periods that have a duration of 24 months in length and are comprised of purchase periods of six months in length. The offering periods are scheduled to start on the first trading day on or after May 16 and November 16 of each year. Under the 2022 ESPP, the purchase price of a share under the ESPP equals 85% of the lesser of the fair market value of a share of common stock on either the first or last day of the applicable offering period of the last day of the applicable purchase period.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May of 2023, the Company increased the share purchase limit under the 2022 ESPP to 3,000 shares of the Company’s common stock per offering period and added Velodyne Lidar, Inc. as a participating employer in the 2022 ESPP. The stock-based compensation expense is calculated as of the beginning of the offering period as the fair value of the 2022 ESPP shares utilizing the Black-Scholes option valuation model and is recognized over the offering period. The first offering period under the 2022 ESPP commenced on September 6, 2022. During fiscal 2023 employees purchased 257,506 shares of common stock under the 2022 ESPP at a weighted-average purchase price of $4.56, with proceeds of $1.2 million.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Equity Plans Assumed from Acquisition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22, 2021 (“Effective Time”), the Company closed the acquisition of Sense pursuant to the Agreement and Plan of Merger and Plan of Reorganization (“Sense Agreement”). Pursuant to the Sense Agreement, upon the completion of the transaction, the Company assumed the Sense 2017 Equity Incentive Plan (the “Sense Plan”). In addition, pursuant to the Sense Agreement, at the Effective Time, each outstanding option to purchase Sense common stock and each award of time-based RSUs in respect of shares of Sense common stock held by Sense employees, in each case, that was outstanding as of immediately prior to the Effective Time was automatically adjusted by the Exchange Ratio (as defined in the Sense Agreement) and converted into an equity award of the same type covering shares of the Company’s common stock, on the same terms and conditions, (including, if applicable, any continuing vesting requirements) under the applicable Sense plan and award agreement in effect immediately prior to the Effective Time (the “Assumed Awards”). In connection with the closing of the acquisition, 82,311 stock options and 449,098 RSUs were assumed.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10, 2023, the Company consummated the Velodyne Merger. Pursuant to the Velodyne Merger, the Company assumed the Velodyne Lidar, Inc. 2020 Equity Incentive Plan (the “Velodyne Plan”), and all restricted stock units granted thereunder that were outstanding immediately prior to the consummation of the Velodyne Merger and converted into restricted stock units covering shares of the Company’s common stock (such assumed awards, the “Assumed RSUs”) and all shares of Velodyne Lidar, Inc. restricted stock were converted into shares of Company restricted stock. Each Assumed RSU and award of restricted stock is subject to substantially the same terms and conditions as applied to the related Velodyne restricted stock unit award or restricted stock award immediately prior to the consummation of the Velodyne Merger, except that the number of shares of common stock subject to each Assumed RSU or constituting restricted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 adjusted in accordance with the terms of the Velodyne Merger Agreement. In connection with the consummation of the Velodyne Merger, 961,012 Assumed RSUs and 728,646 shares of restricted stock were assumed. Pursuant to the terms of the Velodyne Plan, the number of shares reserved for issuance increases on January 1 of each year by the lesser of 820,400 shares or such smaller number of shares determined by the board of directors. In addition, any shares that are subject to awards forfeited and any shares of restricted stock that are forfeited will be available for grant under the Velodyne Plan. As of December 31, 2023, the Company had reserved 1,077,184 shares of the Company’s common stock for issuance under the Velodyne Plan.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stock-based compensation for all stock options in the statements of operations and comprehensive loss as follows (in thousands):</w:t>
      </w:r>
    </w:p>
    <w:tbl>
      <w:tblPr>
        <w:tblW w:w="5416" w:type="dxa"/>
        <w:jc w:val="left"/>
        <w:tblInd w:w="0" w:type="dxa"/>
        <w:tblLayout w:type="fixed"/>
        <w:tblCellMar>
          <w:top w:w="28" w:type="dxa"/>
          <w:left w:w="28" w:type="dxa"/>
          <w:bottom w:w="28" w:type="dxa"/>
          <w:right w:w="28" w:type="dxa"/>
        </w:tblCellMar>
      </w:tblPr>
      <w:tblGrid>
        <w:gridCol w:w="992"/>
        <w:gridCol w:w="874"/>
        <w:gridCol w:w="878"/>
        <w:gridCol w:w="211"/>
        <w:gridCol w:w="721"/>
        <w:gridCol w:w="109"/>
        <w:gridCol w:w="109"/>
        <w:gridCol w:w="109"/>
        <w:gridCol w:w="109"/>
        <w:gridCol w:w="211"/>
        <w:gridCol w:w="721"/>
        <w:gridCol w:w="109"/>
        <w:gridCol w:w="109"/>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stock-based compensation expense by award type (in thousands):</w:t>
      </w:r>
    </w:p>
    <w:tbl>
      <w:tblPr>
        <w:tblW w:w="5416" w:type="dxa"/>
        <w:jc w:val="left"/>
        <w:tblInd w:w="0" w:type="dxa"/>
        <w:tblLayout w:type="fixed"/>
        <w:tblCellMar>
          <w:top w:w="28" w:type="dxa"/>
          <w:left w:w="28" w:type="dxa"/>
          <w:bottom w:w="28" w:type="dxa"/>
          <w:right w:w="28" w:type="dxa"/>
        </w:tblCellMar>
      </w:tblPr>
      <w:tblGrid>
        <w:gridCol w:w="992"/>
        <w:gridCol w:w="868"/>
        <w:gridCol w:w="884"/>
        <w:gridCol w:w="211"/>
        <w:gridCol w:w="721"/>
        <w:gridCol w:w="109"/>
        <w:gridCol w:w="109"/>
        <w:gridCol w:w="109"/>
        <w:gridCol w:w="109"/>
        <w:gridCol w:w="211"/>
        <w:gridCol w:w="721"/>
        <w:gridCol w:w="109"/>
        <w:gridCol w:w="109"/>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RSAs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activity for the years ended December 31, 2023 and 2022 is as follows:</w:t>
      </w:r>
    </w:p>
    <w:tbl>
      <w:tblPr>
        <w:tblW w:w="10205" w:type="dxa"/>
        <w:jc w:val="left"/>
        <w:tblInd w:w="0" w:type="dxa"/>
        <w:tblLayout w:type="fixed"/>
        <w:tblCellMar>
          <w:top w:w="28" w:type="dxa"/>
          <w:left w:w="28" w:type="dxa"/>
          <w:bottom w:w="28" w:type="dxa"/>
          <w:right w:w="28" w:type="dxa"/>
        </w:tblCellMar>
      </w:tblPr>
      <w:tblGrid>
        <w:gridCol w:w="1492"/>
        <w:gridCol w:w="1315"/>
        <w:gridCol w:w="1317"/>
        <w:gridCol w:w="488"/>
        <w:gridCol w:w="488"/>
        <w:gridCol w:w="336"/>
        <w:gridCol w:w="109"/>
        <w:gridCol w:w="109"/>
        <w:gridCol w:w="109"/>
        <w:gridCol w:w="307"/>
        <w:gridCol w:w="898"/>
        <w:gridCol w:w="161"/>
        <w:gridCol w:w="109"/>
        <w:gridCol w:w="109"/>
        <w:gridCol w:w="109"/>
        <w:gridCol w:w="408"/>
        <w:gridCol w:w="408"/>
        <w:gridCol w:w="410"/>
        <w:gridCol w:w="109"/>
        <w:gridCol w:w="109"/>
        <w:gridCol w:w="109"/>
        <w:gridCol w:w="211"/>
        <w:gridCol w:w="826"/>
        <w:gridCol w:w="159"/>
      </w:tblGrid>
      <w:tr>
        <w:trPr/>
        <w:tc>
          <w:tcPr>
            <w:tcW w:w="1492"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br/>
              <w:t>Underlying</w:t>
              <w:br/>
              <w:t>Outstanding</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Exercise</w:t>
              <w:b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Outstanding—January 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2,412,910 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100,992 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(213,318)</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cancelled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(98,055)</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Outstanding—December 31, 2022</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2,101,536 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(142,117)</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cancelled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(87,770)</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Outstanding—December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1,871,649 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vest—December 31, 2023</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1,871,649 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Exercisable—December 31, 2023</w:t>
            </w:r>
          </w:p>
        </w:tc>
        <w:tc>
          <w:tcPr>
            <w:tcW w:w="97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1,528,830 </w:t>
            </w:r>
          </w:p>
        </w:tc>
        <w:tc>
          <w:tcPr>
            <w:tcW w:w="3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about stock options outstanding and exercisable at December 31, 2023.</w:t>
      </w:r>
    </w:p>
    <w:tbl>
      <w:tblPr>
        <w:tblW w:w="5497" w:type="dxa"/>
        <w:jc w:val="left"/>
        <w:tblInd w:w="0" w:type="dxa"/>
        <w:tblLayout w:type="fixed"/>
        <w:tblCellMar>
          <w:top w:w="28" w:type="dxa"/>
          <w:left w:w="28" w:type="dxa"/>
          <w:bottom w:w="28" w:type="dxa"/>
          <w:right w:w="28" w:type="dxa"/>
        </w:tblCellMar>
      </w:tblPr>
      <w:tblGrid>
        <w:gridCol w:w="226"/>
        <w:gridCol w:w="616"/>
        <w:gridCol w:w="109"/>
        <w:gridCol w:w="488"/>
        <w:gridCol w:w="488"/>
        <w:gridCol w:w="336"/>
        <w:gridCol w:w="178"/>
        <w:gridCol w:w="178"/>
        <w:gridCol w:w="178"/>
        <w:gridCol w:w="323"/>
        <w:gridCol w:w="323"/>
        <w:gridCol w:w="345"/>
        <w:gridCol w:w="109"/>
        <w:gridCol w:w="109"/>
        <w:gridCol w:w="109"/>
        <w:gridCol w:w="488"/>
        <w:gridCol w:w="488"/>
        <w:gridCol w:w="406"/>
      </w:tblGrid>
      <w:tr>
        <w:trPr/>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Exercise</w:t>
              <w:br/>
              <w:t>Price</w:t>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br/>
              <w:t>Outstanding</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br/>
              <w:t>Exercisable</w:t>
            </w:r>
          </w:p>
        </w:tc>
      </w:tr>
      <w:tr>
        <w:trPr/>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274,431 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255,051 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829,595 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663,843 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752,408 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595,653 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14,283 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1,871,649 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1,528,830 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options were granted during the years ended December 31, 2023 and December 31, 2022.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was approximately $4.5 million of unamortized stock-based compensation expense related to unvested stock options that is expected to be recognized over a weighted average period of 0.7 years.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option exercises and purchases of shares was $1.4 million and $0.8 million for years ended December 31, 2023 and 2022, respectively.</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 (“RSU”)</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RSUs activity under the Plan is as follows:</w:t>
      </w:r>
    </w:p>
    <w:tbl>
      <w:tblPr>
        <w:tblW w:w="5828" w:type="dxa"/>
        <w:jc w:val="left"/>
        <w:tblInd w:w="0" w:type="dxa"/>
        <w:tblLayout w:type="fixed"/>
        <w:tblCellMar>
          <w:top w:w="28" w:type="dxa"/>
          <w:left w:w="28" w:type="dxa"/>
          <w:bottom w:w="28" w:type="dxa"/>
          <w:right w:w="28" w:type="dxa"/>
        </w:tblCellMar>
      </w:tblPr>
      <w:tblGrid>
        <w:gridCol w:w="960"/>
        <w:gridCol w:w="845"/>
        <w:gridCol w:w="849"/>
        <w:gridCol w:w="524"/>
        <w:gridCol w:w="526"/>
        <w:gridCol w:w="296"/>
        <w:gridCol w:w="109"/>
        <w:gridCol w:w="109"/>
        <w:gridCol w:w="109"/>
        <w:gridCol w:w="322"/>
        <w:gridCol w:w="942"/>
        <w:gridCol w:w="237"/>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Grant Date Fair</w:t>
              <w:br/>
              <w:t>Value (per share)</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Unvested—January 1, 2022</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932,657 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78.22 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during the year</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1,571,079 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 during the year</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(407,307)</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during the year</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(445,614)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Unvested—December 31, 2022</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1,650,815 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during the year</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3,976,916 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 during the year</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(793,135)</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during the year</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(1,759,657)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Unvested—December 31, 2023</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3,074,939 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total compensation expense related to unvested RSUs granted to employees, but not yet recognized, was $37.6 million, with a weighted-average remaining vesting period of 1.8 years.</w:t>
      </w:r>
    </w:p>
    <w:p>
      <w:pPr>
        <w:pStyle w:val="TextBody"/>
        <w:bidi w:val="0"/>
        <w:spacing w:lineRule="auto" w:line="26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Awards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RSA activity is as follows:</w:t>
      </w:r>
    </w:p>
    <w:tbl>
      <w:tblPr>
        <w:tblW w:w="5679" w:type="dxa"/>
        <w:jc w:val="left"/>
        <w:tblInd w:w="0" w:type="dxa"/>
        <w:tblLayout w:type="fixed"/>
        <w:tblCellMar>
          <w:top w:w="28" w:type="dxa"/>
          <w:left w:w="28" w:type="dxa"/>
          <w:bottom w:w="28" w:type="dxa"/>
          <w:right w:w="28" w:type="dxa"/>
        </w:tblCellMar>
      </w:tblPr>
      <w:tblGrid>
        <w:gridCol w:w="960"/>
        <w:gridCol w:w="845"/>
        <w:gridCol w:w="850"/>
        <w:gridCol w:w="449"/>
        <w:gridCol w:w="451"/>
        <w:gridCol w:w="296"/>
        <w:gridCol w:w="109"/>
        <w:gridCol w:w="109"/>
        <w:gridCol w:w="109"/>
        <w:gridCol w:w="322"/>
        <w:gridCol w:w="942"/>
        <w:gridCol w:w="237"/>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Grant Date Fair</w:t>
              <w:br/>
              <w:t>Value (per share)</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Unvested—December 31, 2022</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732,110 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(351,727)</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Unvested—December 31, 2023</w:t>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380,383 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 is recognized on a straight-line basis over the vesting period of each award of RSAs. As of December 31, 2023, total compensation expense related to unvested RSAs granted to employees, but not yet recognized, was $3.0 million, with a weighted-average remaining vesting period of 1.70 years. The common stock comprising RSAs is issued at grant but, generally, is subject to a risk of forfeiture if the holder terminates service with the Company and its subsidiaries prior to vesting.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12. Employee benefit plan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2018, the Company adopted a defined contribution retirement savings plan under Section 401(k) of the Internal Revenue Code. This plan covers substantially all employees who meet minimum age and service requirements and allows participants to defer a portion of their annual compensation on a pre-tax basis. The Company at its discretion offers matching contributions of up to 4% of each employee’s annual compensation. The Company provided matching contributions of $2.1 million and $1.5 million to the plan during the years ended December 31,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13. Net Loss Per Common Share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loss per common share attributable to common stockholders (in thousands, except share and per share data):</w:t>
      </w:r>
    </w:p>
    <w:tbl>
      <w:tblPr>
        <w:tblW w:w="9407" w:type="dxa"/>
        <w:jc w:val="left"/>
        <w:tblInd w:w="0" w:type="dxa"/>
        <w:tblLayout w:type="fixed"/>
        <w:tblCellMar>
          <w:top w:w="28" w:type="dxa"/>
          <w:left w:w="28" w:type="dxa"/>
          <w:bottom w:w="28" w:type="dxa"/>
          <w:right w:w="28" w:type="dxa"/>
        </w:tblCellMar>
      </w:tblPr>
      <w:tblGrid>
        <w:gridCol w:w="2299"/>
        <w:gridCol w:w="2028"/>
        <w:gridCol w:w="2048"/>
        <w:gridCol w:w="211"/>
        <w:gridCol w:w="901"/>
        <w:gridCol w:w="109"/>
        <w:gridCol w:w="109"/>
        <w:gridCol w:w="109"/>
        <w:gridCol w:w="109"/>
        <w:gridCol w:w="211"/>
        <w:gridCol w:w="901"/>
        <w:gridCol w:w="109"/>
        <w:gridCol w:w="109"/>
        <w:gridCol w:w="154"/>
      </w:tblGrid>
      <w:tr>
        <w:trPr/>
        <w:tc>
          <w:tcPr>
            <w:tcW w:w="2299"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basic and diluted net loss per share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37,042,081 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17,792,316 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share-basic and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shares of potentially dilutive securities were excluded from the computation of diluted net loss per share attributable to common stockholders for the periods presented because including them would have been antidilutive:</w:t>
      </w:r>
    </w:p>
    <w:tbl>
      <w:tblPr>
        <w:tblW w:w="7029" w:type="dxa"/>
        <w:jc w:val="left"/>
        <w:tblInd w:w="0" w:type="dxa"/>
        <w:tblLayout w:type="fixed"/>
        <w:tblCellMar>
          <w:top w:w="28" w:type="dxa"/>
          <w:left w:w="28" w:type="dxa"/>
          <w:bottom w:w="28" w:type="dxa"/>
          <w:right w:w="28" w:type="dxa"/>
        </w:tblCellMar>
      </w:tblPr>
      <w:tblGrid>
        <w:gridCol w:w="1458"/>
        <w:gridCol w:w="1286"/>
        <w:gridCol w:w="1290"/>
        <w:gridCol w:w="540"/>
        <w:gridCol w:w="541"/>
        <w:gridCol w:w="156"/>
        <w:gridCol w:w="121"/>
        <w:gridCol w:w="121"/>
        <w:gridCol w:w="121"/>
        <w:gridCol w:w="488"/>
        <w:gridCol w:w="488"/>
        <w:gridCol w:w="156"/>
        <w:gridCol w:w="109"/>
        <w:gridCol w:w="154"/>
      </w:tblGrid>
      <w:tr>
        <w:trPr/>
        <w:tc>
          <w:tcPr>
            <w:tcW w:w="145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1,871,649 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2,101,716 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and private common stock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5,232,035 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1,599,990 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3,074,939 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1,651,019 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early exercised common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 shares pending issuance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2,068,574 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RSAs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12,640,203 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5,678,896 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14. 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for the years ended December 31, 2023, 2022 and 2021 are as follows (in thousands):</w:t>
      </w:r>
    </w:p>
    <w:tbl>
      <w:tblPr>
        <w:tblW w:w="3918" w:type="dxa"/>
        <w:jc w:val="left"/>
        <w:tblInd w:w="0" w:type="dxa"/>
        <w:tblLayout w:type="fixed"/>
        <w:tblCellMar>
          <w:top w:w="28" w:type="dxa"/>
          <w:left w:w="28" w:type="dxa"/>
          <w:bottom w:w="28" w:type="dxa"/>
          <w:right w:w="28" w:type="dxa"/>
        </w:tblCellMar>
      </w:tblPr>
      <w:tblGrid>
        <w:gridCol w:w="321"/>
        <w:gridCol w:w="282"/>
        <w:gridCol w:w="283"/>
        <w:gridCol w:w="211"/>
        <w:gridCol w:w="901"/>
        <w:gridCol w:w="109"/>
        <w:gridCol w:w="109"/>
        <w:gridCol w:w="109"/>
        <w:gridCol w:w="109"/>
        <w:gridCol w:w="211"/>
        <w:gridCol w:w="901"/>
        <w:gridCol w:w="109"/>
        <w:gridCol w:w="109"/>
        <w:gridCol w:w="15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income tax expense are as follows (in thousands):</w:t>
      </w:r>
    </w:p>
    <w:tbl>
      <w:tblPr>
        <w:tblW w:w="5193" w:type="dxa"/>
        <w:jc w:val="left"/>
        <w:tblInd w:w="0" w:type="dxa"/>
        <w:tblLayout w:type="fixed"/>
        <w:tblCellMar>
          <w:top w:w="28" w:type="dxa"/>
          <w:left w:w="28" w:type="dxa"/>
          <w:bottom w:w="28" w:type="dxa"/>
          <w:right w:w="28" w:type="dxa"/>
        </w:tblCellMar>
      </w:tblPr>
      <w:tblGrid>
        <w:gridCol w:w="1062"/>
        <w:gridCol w:w="936"/>
        <w:gridCol w:w="942"/>
        <w:gridCol w:w="221"/>
        <w:gridCol w:w="489"/>
        <w:gridCol w:w="114"/>
        <w:gridCol w:w="114"/>
        <w:gridCol w:w="114"/>
        <w:gridCol w:w="114"/>
        <w:gridCol w:w="221"/>
        <w:gridCol w:w="489"/>
        <w:gridCol w:w="114"/>
        <w:gridCol w:w="109"/>
        <w:gridCol w:w="154"/>
      </w:tblGrid>
      <w:tr>
        <w:trPr/>
        <w:tc>
          <w:tcPr>
            <w:tcW w:w="106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expense</w:t>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8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(benefit) expense</w:t>
            </w:r>
          </w:p>
        </w:tc>
        <w:tc>
          <w:tcPr>
            <w:tcW w:w="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 (benefit)</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between the statutory U.S. federal rate and the Company’s effective tax rate is as follows:</w:t>
      </w:r>
    </w:p>
    <w:tbl>
      <w:tblPr>
        <w:tblW w:w="6226" w:type="dxa"/>
        <w:jc w:val="left"/>
        <w:tblInd w:w="0" w:type="dxa"/>
        <w:tblLayout w:type="fixed"/>
        <w:tblCellMar>
          <w:top w:w="28" w:type="dxa"/>
          <w:left w:w="28" w:type="dxa"/>
          <w:bottom w:w="28" w:type="dxa"/>
          <w:right w:w="28" w:type="dxa"/>
        </w:tblCellMar>
      </w:tblPr>
      <w:tblGrid>
        <w:gridCol w:w="1231"/>
        <w:gridCol w:w="1085"/>
        <w:gridCol w:w="1088"/>
        <w:gridCol w:w="211"/>
        <w:gridCol w:w="796"/>
        <w:gridCol w:w="109"/>
        <w:gridCol w:w="109"/>
        <w:gridCol w:w="109"/>
        <w:gridCol w:w="109"/>
        <w:gridCol w:w="211"/>
        <w:gridCol w:w="796"/>
        <w:gridCol w:w="109"/>
        <w:gridCol w:w="109"/>
        <w:gridCol w:w="154"/>
      </w:tblGrid>
      <w:tr>
        <w:trPr/>
        <w:tc>
          <w:tcPr>
            <w:tcW w:w="123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at federal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 of federal benefit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rate differential</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changes - warrants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tax provision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the Company’s deferred tax assets and liabilities for federal, state and foreign income taxes are as follows (in thousands):</w:t>
      </w:r>
    </w:p>
    <w:tbl>
      <w:tblPr>
        <w:tblW w:w="6879" w:type="dxa"/>
        <w:jc w:val="left"/>
        <w:tblInd w:w="0" w:type="dxa"/>
        <w:tblLayout w:type="fixed"/>
        <w:tblCellMar>
          <w:top w:w="28" w:type="dxa"/>
          <w:left w:w="28" w:type="dxa"/>
          <w:bottom w:w="28" w:type="dxa"/>
          <w:right w:w="28" w:type="dxa"/>
        </w:tblCellMar>
      </w:tblPr>
      <w:tblGrid>
        <w:gridCol w:w="1567"/>
        <w:gridCol w:w="1374"/>
        <w:gridCol w:w="1379"/>
        <w:gridCol w:w="211"/>
        <w:gridCol w:w="826"/>
        <w:gridCol w:w="109"/>
        <w:gridCol w:w="109"/>
        <w:gridCol w:w="109"/>
        <w:gridCol w:w="109"/>
        <w:gridCol w:w="211"/>
        <w:gridCol w:w="721"/>
        <w:gridCol w:w="154"/>
      </w:tblGrid>
      <w:tr>
        <w:trPr/>
        <w:tc>
          <w:tcPr>
            <w:tcW w:w="156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32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reserves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and development expenditures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property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established a full valuation allowance of $305.0 million and $69.6 million for the years ended December 31, 2023 and 2022, respectively, against its U.S. Federal and state deferred tax assets. The Company determines its valuation allowance on deferred tax assets by considering both positive and negative evidence in order to ascertain whether it is more likely than not that deferred tax assets will be realized. Due to the history of losses the Company has generated in the past, the Company believes that it is not more likely than not that all of its U.S. Federal and state deferred tax assets can be realized as of December 31,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valuation allowance on the Company’s net deferred taxes increased by $235.4 million and $22.2 million during the years ended December 31, 2023 and 2022, respectively. The increase in valuation allowance is primarily attributable to the generation of net operating losses and capitalization of research and development expenditures.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federal net operating loss carryforwards and state net operating loss carryforwards of approximately $844.3 million and $354.1 million, respectively. As of December 31, 2023, federal net operating loss carryforwards generated after December 31, 2017 will be carried forward indefinitely and the state net operating loss carryforward begins expiring in 2028 through 2043. As of December 31, 2023, the amount of federal net operating loss that does not expire is $835.8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federal and state research and development credit carryforwards of approximately $5.0 million and $12.8 million, respectively. As of December 31, 2023 the federal credits will expire starting in 2035, if not utilized and state credits carryforward indefinitely.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Tax Reform Act of 1986 and similar state legislation impose substantial restrictions on the utilization of the net operating losses and tax credit carryforwards in the event there is a change in ownership as provided by Section 382 and Section 383 of the Internal Revenue Code and similar state provisions. We have completed an analysis of Section 382 ownership changes in our stock through February 10, 2023 and have concluded that we have experienced ownership changes that will result in limitations in our ability to use certain of our tax credit carryforwards. The Company may experience ownership changes in the future as a result of future transactions in our stock. If it is determined that we undergo one or more ownership changes in the future, then our ability to utilize our U.S. Federal and state net operating loss carryforwards or other tax attributes may be limited or eliminated.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balance of gross unrecognized tax benefits as of December 31, 2023, and 2022 was $24.8 million and $18.8 million, respectively. Out of the total unrecognized tax benefits, $0.5 million at December 31, 2023, if recognized, would impact our effective tax rate in the period of recognition. The Company recognizes interest and penalties accrued on any unrecognized tax benefits as a component of income tax expense. As of December 31, 2023 and 2022, the Company has accrued immaterial interest and penalties related to uncertain tax positions. The following table sets forth the change in the uncertain tax positions for the years ended December 31, 2023 and 2022 (in thousands):</w:t>
      </w:r>
    </w:p>
    <w:tbl>
      <w:tblPr>
        <w:tblW w:w="5731" w:type="dxa"/>
        <w:jc w:val="left"/>
        <w:tblInd w:w="0" w:type="dxa"/>
        <w:tblLayout w:type="fixed"/>
        <w:tblCellMar>
          <w:top w:w="28" w:type="dxa"/>
          <w:left w:w="28" w:type="dxa"/>
          <w:bottom w:w="28" w:type="dxa"/>
          <w:right w:w="28" w:type="dxa"/>
        </w:tblCellMar>
      </w:tblPr>
      <w:tblGrid>
        <w:gridCol w:w="1108"/>
        <w:gridCol w:w="974"/>
        <w:gridCol w:w="977"/>
        <w:gridCol w:w="211"/>
        <w:gridCol w:w="721"/>
        <w:gridCol w:w="109"/>
        <w:gridCol w:w="109"/>
        <w:gridCol w:w="109"/>
        <w:gridCol w:w="109"/>
        <w:gridCol w:w="211"/>
        <w:gridCol w:w="721"/>
        <w:gridCol w:w="109"/>
        <w:gridCol w:w="109"/>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prior years’ tax positions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current year’s tax positions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prior years’ tax 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files income tax returns in the U.S. for Federal, California, and other US states, as well as miscellaneous foreign jurisdictions. In the normal course of business, the Company is subject to examination by taxing authorities. The earliest year open for examination is the 2016 tax year. The Company’s 2017 and 2018 tax years are currently under IRS examination. The Company believes that an adequate provision has been made for any adjustments that may result from the tax examination. Although the timing of the resolution, settlement, and closure of the examination is not certain, the Company does not believe it is reasonably possible that the Company’s unrecognized tax benefits will materially change in the next 12 months. All of the net operating losses and research and development credit carry-forwards that may be used in future years are still subject to inquiry given that the statute of limitation for these items would begin in the year of the utilization.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15. Revenue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the sale of lidar sensor kits, which is recognized at a point in time, was $83.3 million and $41.0 million for the years ended December 31, 2023 and 2022, respectively. Revenue from the sale of licenses and services are not material for any period presented and, therefore, not presented separately.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total revenues by geographic area based on the location products were shipped to and services provided (in thousands): </w:t>
      </w:r>
    </w:p>
    <w:tbl>
      <w:tblPr>
        <w:tblW w:w="5342" w:type="dxa"/>
        <w:jc w:val="left"/>
        <w:tblInd w:w="0" w:type="dxa"/>
        <w:tblLayout w:type="fixed"/>
        <w:tblCellMar>
          <w:top w:w="28" w:type="dxa"/>
          <w:left w:w="28" w:type="dxa"/>
          <w:bottom w:w="28" w:type="dxa"/>
          <w:right w:w="28" w:type="dxa"/>
        </w:tblCellMar>
      </w:tblPr>
      <w:tblGrid>
        <w:gridCol w:w="965"/>
        <w:gridCol w:w="848"/>
        <w:gridCol w:w="857"/>
        <w:gridCol w:w="211"/>
        <w:gridCol w:w="721"/>
        <w:gridCol w:w="109"/>
        <w:gridCol w:w="109"/>
        <w:gridCol w:w="109"/>
        <w:gridCol w:w="109"/>
        <w:gridCol w:w="211"/>
        <w:gridCol w:w="721"/>
        <w:gridCol w:w="109"/>
        <w:gridCol w:w="109"/>
        <w:gridCol w:w="154"/>
      </w:tblGrid>
      <w:tr>
        <w:trPr/>
        <w:tc>
          <w:tcPr>
            <w:tcW w:w="96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jc w:val="left"/>
        <w:rPr/>
      </w:pPr>
      <w:r>
        <w:rPr>
          <w:rFonts w:ascii="Times New Roman;sans-serif" w:hAnsi="Times New Roman;sans-serif"/>
          <w:b w:val="false"/>
          <w:color w:val="000000"/>
          <w:sz w:val="20"/>
          <w:shd w:fill="FFFFFF" w:val="clear"/>
        </w:rPr>
        <w:t xml:space="preserve">There were no customers that accounted for more than 10% of revenue during the years ended </w:t>
      </w:r>
      <w:r>
        <w:rPr>
          <w:rFonts w:ascii="Times New Roman;sans-serif" w:hAnsi="Times New Roman;sans-serif"/>
          <w:b w:val="false"/>
          <w:color w:val="000000"/>
          <w:sz w:val="20"/>
        </w:rPr>
        <w:t>December 31, 2023 and 2022</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Country that accounted for more than 10% of revenue was as follows:</w:t>
      </w:r>
    </w:p>
    <w:p>
      <w:pPr>
        <w:pStyle w:val="TextBody"/>
        <w:bidi w:val="0"/>
        <w:spacing w:before="0" w:after="0"/>
        <w:jc w:val="left"/>
        <w:rPr/>
      </w:pPr>
      <w:r>
        <w:rPr/>
      </w:r>
    </w:p>
    <w:tbl>
      <w:tblPr>
        <w:tblW w:w="3771" w:type="dxa"/>
        <w:jc w:val="left"/>
        <w:tblInd w:w="0" w:type="dxa"/>
        <w:tblLayout w:type="fixed"/>
        <w:tblCellMar>
          <w:top w:w="28" w:type="dxa"/>
          <w:left w:w="28" w:type="dxa"/>
          <w:bottom w:w="28" w:type="dxa"/>
          <w:right w:w="28" w:type="dxa"/>
        </w:tblCellMar>
      </w:tblPr>
      <w:tblGrid>
        <w:gridCol w:w="435"/>
        <w:gridCol w:w="381"/>
        <w:gridCol w:w="383"/>
        <w:gridCol w:w="193"/>
        <w:gridCol w:w="193"/>
        <w:gridCol w:w="479"/>
        <w:gridCol w:w="193"/>
        <w:gridCol w:w="193"/>
        <w:gridCol w:w="193"/>
        <w:gridCol w:w="193"/>
        <w:gridCol w:w="193"/>
        <w:gridCol w:w="479"/>
        <w:gridCol w:w="109"/>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Revenue contract balances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Timing of revenue recognition may differ from the timing of invoicing to customers. An unbilled receivable is recorded in instances when revenue is recognized prior to invoicing, and amounts collected in advance of services being provided are recorded as deferred revenue. Contract assets are generated when contractual billing schedules differ from revenue recognition timing.</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Unbilled receivables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receivable for multi-year licensing contracts is generally recorded upon invoicing. A receivable for multi-year license contracts is recorded upon delivery, whether or not invoiced, to the extent the Company has an unconditional right to receive payment in the future related to those licenses. As of December 31, 2023, the current portion of these unbilled receivables in the amount of $3.0 million, primarily consisting of unbilled receivables from multi-year license contracts, is included in “Accounts receivable, net” on the consolidated balance sheet.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Contract Assets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assets primarily relate to the Company’s rights to consideration under license arrangements when the licenses have been transferred to the customers, but payment is contingent upon a future event, other than the passage of time (i.e. type of unbilled receivable) and for which the Company does not have an unconditional right at the reporting date.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 also arises when the timing of billing differs from the timing of revenue recognized, such as when revenue is recognized on guaranteed minimum payments at the inception of the contract when there is not yet a right to invoice in accordance with contract terms and payment is contingent upon future event.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consist of deferred revenue, customer advanced payments and customer deposits. Deferred revenue includes billings in excess of revenue recognized related to product sales, licenses, extended warranty and other services revenue, and is recognized as revenue when the Company performs under the contract. The long-term portion of deferred revenue, mostly related to obligations under license arrangements and extended warranty, is classified as non-current contract liabilities and is included in other non-current liabilities in the Company’s consolidated balance sheets. Customer advanced payments represent required customer payments in advance of product shipments according to customer’s payment term. Customer advance payments are recognized as revenue when control of the performance obligation is transferred to the customer. Customer deposits represent consideration received from a customer which can be applied to future product or service purchases, or refunded.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and liabilities are presented net at the individual contract level in the consolidated balance sheet and are classified as current or long-term based on the nature of the underlying contractual rights and obligations.</w:t>
      </w:r>
    </w:p>
    <w:p>
      <w:pPr>
        <w:pStyle w:val="TextBody"/>
        <w:bidi w:val="0"/>
        <w:spacing w:before="0" w:after="0"/>
        <w:jc w:val="left"/>
        <w:rPr/>
      </w:pPr>
      <w:r>
        <w:rPr/>
      </w:r>
    </w:p>
    <w:tbl>
      <w:tblPr>
        <w:tblW w:w="7346" w:type="dxa"/>
        <w:jc w:val="left"/>
        <w:tblInd w:w="0" w:type="dxa"/>
        <w:tblLayout w:type="fixed"/>
        <w:tblCellMar>
          <w:top w:w="28" w:type="dxa"/>
          <w:left w:w="28" w:type="dxa"/>
          <w:bottom w:w="28" w:type="dxa"/>
          <w:right w:w="28" w:type="dxa"/>
        </w:tblCellMar>
      </w:tblPr>
      <w:tblGrid>
        <w:gridCol w:w="1610"/>
        <w:gridCol w:w="1417"/>
        <w:gridCol w:w="1427"/>
        <w:gridCol w:w="255"/>
        <w:gridCol w:w="873"/>
        <w:gridCol w:w="132"/>
        <w:gridCol w:w="109"/>
        <w:gridCol w:w="109"/>
        <w:gridCol w:w="109"/>
        <w:gridCol w:w="331"/>
        <w:gridCol w:w="732"/>
        <w:gridCol w:w="242"/>
      </w:tblGrid>
      <w:tr>
        <w:trPr/>
        <w:tc>
          <w:tcPr>
            <w:tcW w:w="1610"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current</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 from multi-year licensing contracts</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contract liabilities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long-term portion</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 from multi-year licensing contracts</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contract liabilities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 liabilities</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 from multi-year licensing contracts mainly represent minimum royalty payments received from licensees relating to long-term IP license contracts for which the Company has future obligations under the license agreements. Royalties from the IP licenses are recognized at the later of the period the sales occur or the satisfaction of the performance obligation to which some or all of the royalties have been allocated. The Company evaluated its performance obligations under multi-year licensing contracts and did not recognize any revenue under such licensing contracts in 2023 because the Company concluded there is significant uncertainty associated with resolving the Company’s performance.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contract liabilities mainly relates to one $6.6 million multiyear contract entered in 2023 with a customer to sell its products. During the twelve months ended December 31, 2023, the Company partially satisfied the related performance obligation and recognized $0.7 million revenue that was included in the contract liabilities balance. As of December 31, 2023, $5.9 million remained deferred until a future product delivery date.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contract liabilities (remaining performance obligations) and the significant changes in the balances during the years ended December 31, 2023 and 2022 (in thousands).</w:t>
      </w:r>
    </w:p>
    <w:p>
      <w:pPr>
        <w:pStyle w:val="TextBody"/>
        <w:bidi w:val="0"/>
        <w:spacing w:before="0" w:after="0"/>
        <w:jc w:val="left"/>
        <w:rPr/>
      </w:pPr>
      <w:r>
        <w:rPr/>
      </w:r>
    </w:p>
    <w:tbl>
      <w:tblPr>
        <w:tblW w:w="10123" w:type="dxa"/>
        <w:jc w:val="left"/>
        <w:tblInd w:w="0" w:type="dxa"/>
        <w:tblLayout w:type="fixed"/>
        <w:tblCellMar>
          <w:top w:w="28" w:type="dxa"/>
          <w:left w:w="28" w:type="dxa"/>
          <w:bottom w:w="28" w:type="dxa"/>
          <w:right w:w="28" w:type="dxa"/>
        </w:tblCellMar>
      </w:tblPr>
      <w:tblGrid>
        <w:gridCol w:w="3008"/>
        <w:gridCol w:w="2642"/>
        <w:gridCol w:w="2659"/>
        <w:gridCol w:w="352"/>
        <w:gridCol w:w="1205"/>
        <w:gridCol w:w="257"/>
      </w:tblGrid>
      <w:tr>
        <w:trPr/>
        <w:tc>
          <w:tcPr>
            <w:tcW w:w="3008"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Contract Liabilities</w:t>
            </w:r>
          </w:p>
        </w:tc>
      </w:tr>
      <w:tr>
        <w:trPr/>
        <w:tc>
          <w:tcPr>
            <w:tcW w:w="8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as of December 31, 2021</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 deferred in the period</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that was included in the contract liability balance at the beginning of the period</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as of December 31, 2022</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acquired in the Velodyne Merger</w:t>
            </w:r>
          </w:p>
        </w:tc>
        <w:tc>
          <w:tcPr>
            <w:tcW w:w="1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8,384 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 deferred in the period</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9,126 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that was included in the contract liability balance at the beginning of the period</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as of December 31, 2023</w:t>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17,852 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20" w:after="1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16. Restructuring</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of the Velodyne Merger, in the year ended December 31, 2023, the Company initiated and completed actions to reduce operating expenses, which included a reduction in force and the closure of its India facility (see Note 8. Leases) (collectively, the “Restructuring Initiatives”). Non-cash stock-based compensation charge related to the vesting of share-based awards for employees who were terminated related to a "double-trigger provision" that provided for acceleration in the event of a change in control and subsequent termination of the employee from the Company.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Restructuring Initiatives charges incurred (in thousands):</w:t>
      </w:r>
    </w:p>
    <w:tbl>
      <w:tblPr>
        <w:tblW w:w="5160" w:type="dxa"/>
        <w:jc w:val="left"/>
        <w:tblInd w:w="0" w:type="dxa"/>
        <w:tblLayout w:type="fixed"/>
        <w:tblCellMar>
          <w:top w:w="28" w:type="dxa"/>
          <w:left w:w="28" w:type="dxa"/>
          <w:bottom w:w="28" w:type="dxa"/>
          <w:right w:w="28" w:type="dxa"/>
        </w:tblCellMar>
      </w:tblPr>
      <w:tblGrid>
        <w:gridCol w:w="1396"/>
        <w:gridCol w:w="1226"/>
        <w:gridCol w:w="1233"/>
        <w:gridCol w:w="253"/>
        <w:gridCol w:w="867"/>
        <w:gridCol w:w="185"/>
      </w:tblGrid>
      <w:tr>
        <w:trPr/>
        <w:tc>
          <w:tcPr>
            <w:tcW w:w="139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termination and associated benefits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7,139 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write-down</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23,115 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Restructuring Initiatives were recorded as follows (in thousands):</w:t>
      </w:r>
    </w:p>
    <w:tbl>
      <w:tblPr>
        <w:tblW w:w="10205" w:type="dxa"/>
        <w:jc w:val="left"/>
        <w:tblInd w:w="0" w:type="dxa"/>
        <w:tblLayout w:type="fixed"/>
        <w:tblCellMar>
          <w:top w:w="28" w:type="dxa"/>
          <w:left w:w="28" w:type="dxa"/>
          <w:bottom w:w="28" w:type="dxa"/>
          <w:right w:w="28" w:type="dxa"/>
        </w:tblCellMar>
      </w:tblPr>
      <w:tblGrid>
        <w:gridCol w:w="816"/>
        <w:gridCol w:w="458"/>
        <w:gridCol w:w="460"/>
        <w:gridCol w:w="109"/>
        <w:gridCol w:w="109"/>
        <w:gridCol w:w="109"/>
        <w:gridCol w:w="478"/>
        <w:gridCol w:w="1634"/>
        <w:gridCol w:w="248"/>
        <w:gridCol w:w="109"/>
        <w:gridCol w:w="109"/>
        <w:gridCol w:w="109"/>
        <w:gridCol w:w="459"/>
        <w:gridCol w:w="1342"/>
        <w:gridCol w:w="239"/>
        <w:gridCol w:w="109"/>
        <w:gridCol w:w="109"/>
        <w:gridCol w:w="109"/>
        <w:gridCol w:w="448"/>
        <w:gridCol w:w="991"/>
        <w:gridCol w:w="232"/>
        <w:gridCol w:w="109"/>
        <w:gridCol w:w="109"/>
        <w:gridCol w:w="109"/>
        <w:gridCol w:w="211"/>
        <w:gridCol w:w="721"/>
        <w:gridCol w:w="160"/>
      </w:tblGrid>
      <w:tr>
        <w:trPr/>
        <w:tc>
          <w:tcPr>
            <w:tcW w:w="81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Employee termination and associated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Stock-based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Long-lived asset write-down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15,172 </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7,139 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roll forward of the Restructuring Initiatives liability, which is recorded in accrued expenses in the consolidated balance sheets for the twelve months ended December 31, 2023 (in thousands):</w:t>
      </w:r>
    </w:p>
    <w:tbl>
      <w:tblPr>
        <w:tblW w:w="10205" w:type="dxa"/>
        <w:jc w:val="left"/>
        <w:tblInd w:w="0" w:type="dxa"/>
        <w:tblLayout w:type="fixed"/>
        <w:tblCellMar>
          <w:top w:w="28" w:type="dxa"/>
          <w:left w:w="28" w:type="dxa"/>
          <w:bottom w:w="28" w:type="dxa"/>
          <w:right w:w="28" w:type="dxa"/>
        </w:tblCellMar>
      </w:tblPr>
      <w:tblGrid>
        <w:gridCol w:w="2478"/>
        <w:gridCol w:w="2132"/>
        <w:gridCol w:w="2144"/>
        <w:gridCol w:w="874"/>
        <w:gridCol w:w="1933"/>
        <w:gridCol w:w="644"/>
      </w:tblGrid>
      <w:tr>
        <w:trPr/>
        <w:tc>
          <w:tcPr>
            <w:tcW w:w="2478"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6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Employee termination and associated benefits</w:t>
            </w:r>
          </w:p>
        </w:tc>
      </w:tr>
      <w:tr>
        <w:trPr/>
        <w:tc>
          <w:tcPr>
            <w:tcW w:w="6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 as a result from Velodyne Merger</w:t>
            </w:r>
          </w:p>
        </w:tc>
        <w:tc>
          <w:tcPr>
            <w:tcW w:w="2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Initiative expenses related to one-time employee termination and associated benefits</w:t>
            </w:r>
          </w:p>
        </w:tc>
        <w:tc>
          <w:tcPr>
            <w:tcW w:w="2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15,172 </w:t>
            </w:r>
          </w:p>
        </w:tc>
        <w:tc>
          <w:tcPr>
            <w:tcW w:w="64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paid during the period</w:t>
            </w:r>
          </w:p>
        </w:tc>
        <w:tc>
          <w:tcPr>
            <w:tcW w:w="2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(15,331)</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17. Subsequent Events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13, 2024, the parties to the previously disclosed securities class action lawsuit entitled Moradpour v. Velodyne Lidar, Inc., et al., No. 3:21-cv01486-SI (N.D. Cal.) filed a stipulation of settlement to settle this lawsuit, without any admission or concession of wrongdoing or liability by Velodyne or the individual defendants. The settlement is subject to, among other things, final documentation and court approval.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Defendants entered into the proposed settlement to eliminate the uncertainty, burden, distraction, and expense of further protracted litigation. Defendants continue to deny all claims and allegations in the litigation, including but not limited to any claims of wrongdoing or impropriety, and the proposed settlement does not constitute, contain or reflect any admission of wrongdoing or liability by Velodyne, the individual defendants, or Ouster.</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proposed settlement provides for a payment of $27.5 million, of which the Company expects approximately $23.4 million to be funded by insurance proceeds. See Note 9. Commitments and Contingencies for additional information regarding the settlement.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Limitations on Effectiveness of Controls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include controls and other procedures that are designed to ensure that information required to be disclosed in the reports filed or submitted under the Securities Exchange Act of 1934, as amended, (“Exchange Act”) is recorded, processed, summarized and reported, within the time periods specified in the SEC’s rules and forms.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evaluated the effectiveness of our disclosure controls and procedures (as that term is defined in Rules 13a-15(e) and 15d-15(e) under the Exchange Act) as of December 31, 2023. Based on that evaluation, our Chief Executive Officer and Chief Financial Officer concluded that our disclosure controls and procedures were not effective as of December 31, 2023 due to the material weaknesses in our internal control over financial reporting described below.</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Management’s Annual Report on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such term is defined in Rules 13a-15(f) and 15d-15(f) under the Exchange Act). Our management, including our Chief Executive Officer and Chief Financial Officer, conducted an assessment as of December 31, 2023 of the effectiveness of our internal control over financial reporting based on the criteria set forth in Internal Control–Integrated Framework (2013) issued by the Committee of Sponsoring Organizations of the Treadway Commission (COSO). Based on this assessment, our management concluded that, as of December 31, 2023, our internal control over financial reporting was not effective due to the material weaknesses described below.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did not design and maintain an effective control environment commensurate with our financial reporting requirements. Specifically, we did not maintain a sufficient complement of personnel with an appropriate degree of internal controls and accounting knowledge, experience, and training commensurate with our accounting and reporting requirements. This material weakness contributed to the following additional material weaknesses.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did not design and maintain effective controls over the period-end financial reporting process to achieve complete, accurate and timely financial accounting, reporting and disclosures, including segregation of duties and adequate controls related to journal entries and certain other business processes, and verifying transactions are properly classified in the financial statements. These material weaknesses resulted in adjustments to several account balances and disclosures in the consolidated financial statements for the years ended December 31, 2019 and 2018, and adjustments to the equity and warrant liabilities accounts and related disclosures in the condensed consolidated financial statements for the three months ended March 31, 2021.</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each of these material weaknesses could result in a misstatement of account balances or disclosures that would result in a material misstatement to the annual or interim consolidated financial statements that would not be prevented or detected.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excluded Velodyne Lidar, Inc. from our assessment of the effectiveness of internal control over financial reporting as of December 31, 2023 because it was acquired in a merger during 2023. The total assets and total revenues of Velodyne Lidar, Inc., a wholly-owned subsidiary, represents 8% and 35%, respectively, of the related consolidated financial statement amounts as of and for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Remediation Measures of Unremediated Material Weaknesses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it relates to the above material weaknesses that continued to exist as of December 31, 2023, our management is committed and continues to make progress to improve our internal control over financial reporting. We continued implementation of a plan to remediate the control deficiencies that led to the above material weaknesses. These remediation measures are ongoing and include the following:</w:t>
      </w:r>
    </w:p>
    <w:p>
      <w:pPr>
        <w:pStyle w:val="TextBody"/>
        <w:bidi w:val="0"/>
        <w:spacing w:lineRule="auto" w:line="288" w:before="120" w:after="283"/>
        <w:ind w:left="0" w:right="0" w:hanging="180"/>
        <w:jc w:val="left"/>
        <w:rPr/>
      </w:pPr>
      <w:r>
        <w:rPr>
          <w:color w:val="000000"/>
        </w:rPr>
        <w:t>•</w:t>
      </w:r>
      <w:r>
        <w:rPr>
          <w:rFonts w:ascii="Times New Roman;sans-serif" w:hAnsi="Times New Roman;sans-serif"/>
          <w:b w:val="false"/>
          <w:color w:val="000000"/>
          <w:sz w:val="20"/>
        </w:rPr>
        <w:t>Continuing to recruit personnel with appropriate internal controls, accounting knowledge and experience commensurate with our accounting and reporting requirements, in addition to engaging and utilizing third-party consultants and specialists. Our management also reallocated roles and responsibilities within the accounting team based on skills and experience of various personnel.</w:t>
      </w:r>
    </w:p>
    <w:p>
      <w:pPr>
        <w:pStyle w:val="TextBody"/>
        <w:bidi w:val="0"/>
        <w:spacing w:lineRule="auto" w:line="288" w:before="120" w:after="283"/>
        <w:ind w:left="0" w:right="0" w:hanging="180"/>
        <w:jc w:val="left"/>
        <w:rPr/>
      </w:pPr>
      <w:r>
        <w:rPr>
          <w:color w:val="000000"/>
        </w:rPr>
        <w:t>•</w:t>
      </w:r>
      <w:r>
        <w:rPr>
          <w:rFonts w:ascii="Times New Roman;sans-serif" w:hAnsi="Times New Roman;sans-serif"/>
          <w:b w:val="false"/>
          <w:color w:val="000000"/>
          <w:sz w:val="20"/>
        </w:rPr>
        <w:t>Continuing to operate entity level controls (ELCs) including Board and Audit Committee oversight, senior management review of financial and business performance and internal controls, and expansion of the internal audit team. We have designed and implemented these controls in the previous financial years.</w:t>
      </w:r>
    </w:p>
    <w:p>
      <w:pPr>
        <w:pStyle w:val="TextBody"/>
        <w:bidi w:val="0"/>
        <w:spacing w:lineRule="auto" w:line="288" w:before="120" w:after="283"/>
        <w:ind w:left="0" w:right="0" w:hanging="180"/>
        <w:jc w:val="left"/>
        <w:rPr/>
      </w:pPr>
      <w:r>
        <w:rPr>
          <w:color w:val="000000"/>
        </w:rPr>
        <w:t>•</w:t>
      </w:r>
      <w:r>
        <w:rPr>
          <w:rFonts w:ascii="Times New Roman;sans-serif" w:hAnsi="Times New Roman;sans-serif"/>
          <w:b w:val="false"/>
          <w:color w:val="000000"/>
          <w:sz w:val="20"/>
        </w:rPr>
        <w:t>Continuing to provide internal control training for personnel responsible for implementing internal controls for the Company.</w:t>
      </w:r>
    </w:p>
    <w:p>
      <w:pPr>
        <w:pStyle w:val="TextBody"/>
        <w:bidi w:val="0"/>
        <w:spacing w:lineRule="auto" w:line="288" w:before="120" w:after="283"/>
        <w:ind w:left="0" w:right="0" w:hanging="180"/>
        <w:jc w:val="left"/>
        <w:rPr/>
      </w:pPr>
      <w:r>
        <w:rPr>
          <w:color w:val="000000"/>
        </w:rPr>
        <w:t>•</w:t>
      </w:r>
      <w:r>
        <w:rPr>
          <w:rFonts w:ascii="Times New Roman;sans-serif" w:hAnsi="Times New Roman;sans-serif"/>
          <w:b w:val="false"/>
          <w:color w:val="000000"/>
          <w:sz w:val="20"/>
        </w:rPr>
        <w:t>Continue to operate internal controls for financial close and reporting including review of accounting policies, journal entry review controls including segregation of duties, period end close procedures, financial statement preparation, review, and reporting, and controls within various business processes as they relate to financial reporting, including controls to ensure segregation of duties. This included controls around classification of balances in our financial statements and strengthening processes for management oversight over financial reporting and disclosure controls. We have designed and implemented these controls in the previous financial years.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investments in resources have improved the stability of our accounting organization. While significant progress has been made in response to the material weaknesses, time is needed to demonstrate sustainability as it relates to our internal control over financial reporting and improvements made to our complement of resources, including demonstrating sustained operating effectiveness of our internal controls. We are committed to continuous improvement and will continue to diligently review our internal control over financial reporting.</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Remediation of Previously Reported Material Weaknesses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disclosed in our Annual Report on Form 10-K for the year ended December 31, 2022, our management concluded that we did not design and maintain effective controls over certain information technology (“IT”) general controls for information systems that are relevant to the preparation of our consolidated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and (ii) user access controls to ensure appropriate segregation of duties and that adequately restrict user and privileged access to our financial applications, programs and data to appropriate personnel.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completed the following actions and measures designed to remediate the control deficiencies that led to the material weakness: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Continuing to operate entity level controls (ELCs) including increasing Board and Audit committee oversight over operation of internal control for financial reporting including IT General controls. We had designed and implemented these controls in the previous financial years and continued to operate these in 2023.</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Enhanced senior management oversight over operation of IT general controls related to change management and user access management.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Strengthened and enhanced the IT governance and policies to enable consistent operation of IT processes in the area of change management and user access management.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Recruited additional personnel with appropriate knowledge and experience for Internal controls and IT General controls area, in addition to engaging and utilizing third-party consultants and specialists.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Continuing to operate IT general controls including restricted user access to our internal systems for financial reporting, and IT change management. We had designed and implemented these controls in the previous financial years and continued to operate these in 2023.</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Conducted internal control training for personnel responsible for IT general controls related to IT change management and IT user access management.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completed its documentation, testing and evaluation of the enhanced control activities and determined that, as of December 31, 2023, these control activities have been appropriately designed and implemented, and have operated effectively for a sufficient period of time to conclude that these previously identified material weaknesses related to restricted user access, and IT change management have been remediated.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Attestation Report of Registered Public Accounting Firm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effectiveness of our internal control over financial reporting as of December 31, 2023 was not required to be audited by our auditors under Section 404(b) of the Sarbanes Oxley Act of 2002 due to Ouster being non-accelerated filer within the definition of Rule 12b-2. Accordingly, this Annual Report on Form 10-K does not include an attestation report of our independent registered accounting firm.</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under the Exchange Act) during the quarter ended December 31,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15, 2023, Mark Weinswig, the Company’s Chief Financial Officer, adopted a “Rule 10b5-1 trading arrangement” as defined in Item 408(a) of Regulation S-K. The plan provides for the periodic sale of up to 19,990 shares of common stock between April 13, 2024 and May 14, 2024. Other than as described above, during the three months ended December 31, 2023, no director or officer of the Company adopted or terminated a “Rule 10b5-1 trading arrangement” or “non-Rule 10b5-1 trading arrangement,” as each term is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9C. Disclosure Regarding Foreign Jurisdictions that Prevent Inspections</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Code of Conduct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Business Conduct and Ethics (the “Code of Conduct”) that applies to all of our directors, officers and employees, including our principal executive officer, principal financial officer, principal accounting officer and/or controller, and persons performing similar functions. A copy of the Code of Conduct is available on our Investors website at investors.ouster.com in the “Governance” section. We expect that any amendments to the Code of Conduct, or any waivers of its requirements, that are required to be disclosed by SEC or NYSE rules will be disclosed on our website. We did not grant any waivers to the Code of Conduct in fiscal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remaining information required by Items 401, 405, 406 and 407(c)(3), (d)(4) and (d)(5) of Regulation S-K will be included under the headings “Election of Directors,” “Executive Officers” “Corporate Governance,” and “Delinquent Section 16(a) Reports” (if applicable) in our definitive proxy statement for our 2024 annual meeting of stockholders (the “2024 Annual Meeting of Stockholders”), to be filed within 120 days after the end of the 2023 fiscal year and is incorporated herein by reference.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Information About Our Executive Officers &amp; Directors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our executive officers and members of our board of directors (ages are calculated as of March 15, 2024):</w:t>
      </w:r>
    </w:p>
    <w:tbl>
      <w:tblPr>
        <w:tblW w:w="10205" w:type="dxa"/>
        <w:jc w:val="left"/>
        <w:tblInd w:w="0" w:type="dxa"/>
        <w:tblLayout w:type="fixed"/>
        <w:tblCellMar>
          <w:top w:w="28" w:type="dxa"/>
          <w:left w:w="28" w:type="dxa"/>
          <w:bottom w:w="28" w:type="dxa"/>
          <w:right w:w="28" w:type="dxa"/>
        </w:tblCellMar>
      </w:tblPr>
      <w:tblGrid>
        <w:gridCol w:w="650"/>
        <w:gridCol w:w="501"/>
        <w:gridCol w:w="488"/>
        <w:gridCol w:w="109"/>
        <w:gridCol w:w="109"/>
        <w:gridCol w:w="109"/>
        <w:gridCol w:w="135"/>
        <w:gridCol w:w="135"/>
        <w:gridCol w:w="136"/>
        <w:gridCol w:w="109"/>
        <w:gridCol w:w="109"/>
        <w:gridCol w:w="109"/>
        <w:gridCol w:w="856"/>
        <w:gridCol w:w="708"/>
        <w:gridCol w:w="711"/>
        <w:gridCol w:w="109"/>
        <w:gridCol w:w="109"/>
        <w:gridCol w:w="109"/>
        <w:gridCol w:w="1613"/>
        <w:gridCol w:w="1357"/>
        <w:gridCol w:w="1934"/>
      </w:tblGrid>
      <w:tr>
        <w:trPr/>
        <w:tc>
          <w:tcPr>
            <w:tcW w:w="6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Position at Ouster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Employment</w:t>
            </w:r>
          </w:p>
        </w:tc>
      </w:tr>
      <w:tr>
        <w:trPr/>
        <w:tc>
          <w:tcPr>
            <w:tcW w:w="1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Angus Pacala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 Co-Founder and 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Same</w:t>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 Frichtl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Co-Founder and Chief Technology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Same</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 Weinswig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Same</w:t>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Darien Spencer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Operating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Same</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Megan Chung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Counsel and Secretary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Same</w:t>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Theodore L. Tewksbury,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Executive Chairman of the Board of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Former Chief Executive Officer of Velodyne Lidar, Inc.</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Virginia Boulet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Former Managing Director of Legacy Capital, LLC, an investment company</w:t>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Susan Heystee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Former Senior Vice President of Global Automotive Business at Verizon Connect, a telecommunications company</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Ernest Maddock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Former Chief Financial Officer of Micron Technology, Inc., a semiconductor manufacturing company</w:t>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Karin Rådström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 of Mercedes-Benz Trucks, a commercial vehicle manufacturer</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Kristin Slanina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Innovation Officer at ParkMyFleet, a provider of parking locations and technology solutions for fleet operations</w:t>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Riaz Valani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Partner and Founder of Global Asset Capital, a private equity investment firm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Items 402, 407(e)(4), and (e)(5) of Regulation S-K will be included under the headings “Executive Compensation” and “Compensation Committee Interlocks and Insider Participation” (if applicable) in our definitive proxy statement for our 2024 Annual Meeting of Stockholders, and such information is incorporated herein by reference.</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Authorized For Issuance under Equity Compensation Plans (As of December 31, 2023):</w:t>
      </w:r>
    </w:p>
    <w:tbl>
      <w:tblPr>
        <w:tblW w:w="10205" w:type="dxa"/>
        <w:jc w:val="left"/>
        <w:tblInd w:w="0" w:type="dxa"/>
        <w:tblLayout w:type="fixed"/>
        <w:tblCellMar>
          <w:top w:w="28" w:type="dxa"/>
          <w:left w:w="28" w:type="dxa"/>
          <w:bottom w:w="28" w:type="dxa"/>
          <w:right w:w="28" w:type="dxa"/>
        </w:tblCellMar>
      </w:tblPr>
      <w:tblGrid>
        <w:gridCol w:w="1295"/>
        <w:gridCol w:w="1141"/>
        <w:gridCol w:w="1113"/>
        <w:gridCol w:w="109"/>
        <w:gridCol w:w="109"/>
        <w:gridCol w:w="109"/>
        <w:gridCol w:w="435"/>
        <w:gridCol w:w="436"/>
        <w:gridCol w:w="292"/>
        <w:gridCol w:w="292"/>
        <w:gridCol w:w="292"/>
        <w:gridCol w:w="293"/>
        <w:gridCol w:w="109"/>
        <w:gridCol w:w="109"/>
        <w:gridCol w:w="109"/>
        <w:gridCol w:w="308"/>
        <w:gridCol w:w="733"/>
        <w:gridCol w:w="170"/>
        <w:gridCol w:w="170"/>
        <w:gridCol w:w="170"/>
        <w:gridCol w:w="175"/>
        <w:gridCol w:w="109"/>
        <w:gridCol w:w="109"/>
        <w:gridCol w:w="109"/>
        <w:gridCol w:w="579"/>
        <w:gridCol w:w="547"/>
        <w:gridCol w:w="783"/>
      </w:tblGrid>
      <w:tr>
        <w:trPr/>
        <w:tc>
          <w:tcPr>
            <w:tcW w:w="1295"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35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Securities to</w:t>
              <w:br/>
              <w:t>be Issued Upon Exercise</w:t>
              <w:br/>
              <w:t>of Outstanding Options,</w:t>
              <w:br/>
              <w:t>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w:t>
              <w:br/>
              <w:t>Exercise Price of</w:t>
              <w:br/>
              <w:t>Outstanding Options,</w:t>
              <w:br/>
              <w:t>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Securities</w:t>
              <w:br/>
              <w:t>Available for Future</w:t>
              <w:br/>
              <w:t>Issuance Under Equity</w:t>
              <w:br/>
              <w:t>Compensation Plans</w:t>
              <w:br/>
              <w:t>(excludes securities</w:t>
              <w:br/>
              <w:t>Reflected in first column)</w:t>
            </w:r>
          </w:p>
        </w:tc>
      </w:tr>
      <w:tr>
        <w:trPr/>
        <w:tc>
          <w:tcPr>
            <w:tcW w:w="3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Equity compensation plans approved by security holders</w:t>
            </w:r>
            <w:r>
              <w:rPr>
                <w:rFonts w:ascii="Times New Roman;sans-serif" w:hAnsi="Times New Roman;sans-serif"/>
                <w:b w:val="false"/>
                <w:color w:val="000000"/>
                <w:sz w:val="12"/>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4,996,772 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1,584,833 </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3,074,939 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50,184 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to Purchase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1,871,649 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Employee Stock Purchase Plan</w:t>
            </w:r>
            <w:r>
              <w:rPr>
                <w:rFonts w:ascii="Times New Roman;sans-serif" w:hAnsi="Times New Roman;sans-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Consists of the Ouster, Inc. 2021 Incentive Award Plan (“2021 Plan”), Velodyne 2020 Equity Incentive plan (the “Velodyne Plan”), Ouster Inc. Amended and Restated 2015 Stock Plan (“2015 Plan”) and Sense Photonics, Inc. 2017 Equity Incentive Plan and (“Sense Plan”). </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The number of shares authorized under our 2021 Plan will increase on the first day of each calendar year beginning on January 1, 2022 and ending on and including January 1, 2031, equal to the lesser of (A) 5% of the shares of common stock outstanding as of the last day of the immediately preceding fiscal year and (B) such lesser number of shares as determined by our board of directors. No additional awards will be granted under the 2015 Plan or the Sense Plan and, as a result, no shares remain available for issuance for new awards under the 2015 Plan or the Sense Plan. The number of shares authorized under our Velodyne 2020 Plan will increase on the first day of each calendar year beginning on January 1, 2021 and ending on (and including) January 1, 2030, equal to the lesser of (A) 820,400 shares of common stock and (B) such lesser number of shares as determined by our board of directors.</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Consists of 2,062,787 outstanding restricted stock units under the 2021 Plan, 949,128 outstanding restricted stock units under the Velodyne Plan, and 63,024 outstanding restricted stock units under the Sense Plan.</w:t>
      </w:r>
    </w:p>
    <w:p>
      <w:pPr>
        <w:pStyle w:val="TextBody"/>
        <w:bidi w:val="0"/>
        <w:spacing w:lineRule="auto" w:line="288" w:before="60" w:after="283"/>
        <w:ind w:left="0" w:right="0" w:hanging="36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 xml:space="preserve">Consists of 1,856,434 outstanding options to purchase stock under the 2015 Plan and 15,215 outstanding options to purchase stock under the Sense Plan. </w:t>
      </w:r>
    </w:p>
    <w:p>
      <w:pPr>
        <w:pStyle w:val="TextBody"/>
        <w:bidi w:val="0"/>
        <w:spacing w:lineRule="auto" w:line="288" w:before="60" w:after="283"/>
        <w:ind w:left="0" w:right="0" w:hanging="36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As of December 31, 2023, the weighted-average exercise price of outstanding options under the 2015 Plan was $6.99 and the weighted-average exercise price of outstanding options under the Sense Plan was $52.40. Outstanding restricted stock units and restricted stock awards subject to time-based vesting do not have an exercise price and therefore are not included in the calculation of the weighted-average exercise price.</w:t>
      </w:r>
    </w:p>
    <w:p>
      <w:pPr>
        <w:pStyle w:val="TextBody"/>
        <w:bidi w:val="0"/>
        <w:spacing w:lineRule="auto" w:line="288" w:before="60" w:after="283"/>
        <w:ind w:left="0" w:right="0" w:hanging="360"/>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Consists of 102,338 shares remaining available for issuance under the 2021 Plan, 1,077,184 shares available for issuance under the Velodyne Plan and 405,311 available for purchase by our employees under the Ouster, Inc 2022 Employee Stock Purchase Plan.</w:t>
      </w:r>
    </w:p>
    <w:p>
      <w:pPr>
        <w:pStyle w:val="TextBody"/>
        <w:bidi w:val="0"/>
        <w:spacing w:lineRule="auto" w:line="288" w:before="60" w:after="283"/>
        <w:ind w:left="0" w:right="0" w:hanging="360"/>
        <w:jc w:val="left"/>
        <w:rPr/>
      </w:pPr>
      <w:r>
        <w:rPr>
          <w:rFonts w:ascii="Times New Roman;sans-serif" w:hAnsi="Times New Roman;sans-serif"/>
          <w:b w:val="false"/>
          <w:color w:val="000000"/>
          <w:sz w:val="13"/>
        </w:rPr>
        <w:t>(7)</w:t>
      </w:r>
      <w:r>
        <w:rPr>
          <w:rFonts w:ascii="Times New Roman;sans-serif" w:hAnsi="Times New Roman;sans-serif"/>
          <w:b w:val="false"/>
          <w:color w:val="000000"/>
          <w:sz w:val="20"/>
        </w:rPr>
        <w:t>Consists of 50,184 outstanding restricted stock awards under the Velodyne Plan.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remaining information required by Item 403 of Regulation S-K will be included under the heading “Security Ownership of Certain Beneficial Owners and Management” in our definitive proxy statement for our 2024 Annual Meeting of Stockholders, and such required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Items 404 and 407(a) of Regulation S-K will be included under the headings “Certain Relationships and Related Person Transactions,” “Corporate Governance” and “Director Independence” in our definitive proxy statement for our 2024 Annual Meeting of Stockholders, and such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9(e) of Schedule 14A of the Exchange Act will be included under the heading “Independent Registered Public Accounting Firm Fees and Other Matters” in our definitive proxy statement for our 2024 Annual Meeting of Stockholders, and such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(a)(1) 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of the Company are listed in the index under Part II, Item 8, of this Annual Report on Form 10-K.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(a)(2) Financial Statement Schedules.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financial statement schedules for the Company have been included in the consolidated financial statements or the related footnotes, or are either inapplicable or not required.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(a)(3) Exhibits.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list of exhibits filed as part of this Annual Report on Form 10-K.</w:t>
      </w:r>
    </w:p>
    <w:tbl>
      <w:tblPr>
        <w:tblW w:w="10205" w:type="dxa"/>
        <w:jc w:val="left"/>
        <w:tblInd w:w="0" w:type="dxa"/>
        <w:tblLayout w:type="fixed"/>
        <w:tblCellMar>
          <w:top w:w="28" w:type="dxa"/>
          <w:left w:w="28" w:type="dxa"/>
          <w:bottom w:w="28" w:type="dxa"/>
          <w:right w:w="28" w:type="dxa"/>
        </w:tblCellMar>
      </w:tblPr>
      <w:tblGrid>
        <w:gridCol w:w="337"/>
        <w:gridCol w:w="296"/>
        <w:gridCol w:w="297"/>
        <w:gridCol w:w="1349"/>
        <w:gridCol w:w="1189"/>
        <w:gridCol w:w="1201"/>
        <w:gridCol w:w="109"/>
        <w:gridCol w:w="109"/>
        <w:gridCol w:w="109"/>
        <w:gridCol w:w="204"/>
        <w:gridCol w:w="204"/>
        <w:gridCol w:w="205"/>
        <w:gridCol w:w="109"/>
        <w:gridCol w:w="109"/>
        <w:gridCol w:w="109"/>
        <w:gridCol w:w="266"/>
        <w:gridCol w:w="260"/>
        <w:gridCol w:w="178"/>
        <w:gridCol w:w="109"/>
        <w:gridCol w:w="109"/>
        <w:gridCol w:w="109"/>
        <w:gridCol w:w="245"/>
        <w:gridCol w:w="245"/>
        <w:gridCol w:w="246"/>
        <w:gridCol w:w="109"/>
        <w:gridCol w:w="109"/>
        <w:gridCol w:w="109"/>
        <w:gridCol w:w="230"/>
        <w:gridCol w:w="230"/>
        <w:gridCol w:w="232"/>
        <w:gridCol w:w="109"/>
        <w:gridCol w:w="109"/>
        <w:gridCol w:w="109"/>
        <w:gridCol w:w="334"/>
        <w:gridCol w:w="334"/>
        <w:gridCol w:w="488"/>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7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9" w:type="dxa"/>
            <w:gridSpan w:val="27"/>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Filed/ Furnished herewith</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3.1</w:t>
              </w:r>
            </w:hyperlink>
          </w:p>
        </w:tc>
        <w:tc>
          <w:tcPr>
            <w:tcW w:w="37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ans-serif" w:hAnsi="Times New Roman;sans-serif"/>
                  <w:b w:val="false"/>
                  <w:color w:val="0000FF"/>
                  <w:sz w:val="20"/>
                  <w:u w:val="single"/>
                </w:rPr>
                <w:t>Certificate of Incorporation of Ouster,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 POS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333-251611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3.2</w:t>
              </w:r>
            </w:hyperlink>
          </w:p>
        </w:tc>
        <w:tc>
          <w:tcPr>
            <w:tcW w:w="37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ans-serif" w:hAnsi="Times New Roman;sans-serif"/>
                  <w:b w:val="false"/>
                  <w:color w:val="000080"/>
                  <w:sz w:val="20"/>
                  <w:u w:val="single"/>
                </w:rPr>
                <w:t>Certificate of Amendment to Certificate of Incorporat</w:t>
              </w:r>
            </w:hyperlink>
            <w:hyperlink r:id="rId14">
              <w:r>
                <w:rPr>
                  <w:rStyle w:val="InternetLink"/>
                  <w:rFonts w:ascii="Times New Roman;sans-serif" w:hAnsi="Times New Roman;sans-serif"/>
                  <w:b w:val="false"/>
                  <w:color w:val="000080"/>
                  <w:sz w:val="20"/>
                  <w:u w:val="single"/>
                </w:rPr>
                <w:t>ion of Ouster,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001-39463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3.3</w:t>
              </w:r>
            </w:hyperlink>
          </w:p>
        </w:tc>
        <w:tc>
          <w:tcPr>
            <w:tcW w:w="37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ans-serif" w:hAnsi="Times New Roman;sans-serif"/>
                  <w:b w:val="false"/>
                  <w:color w:val="000080"/>
                  <w:sz w:val="20"/>
                  <w:u w:val="single"/>
                </w:rPr>
                <w:t>A</w:t>
              </w:r>
            </w:hyperlink>
            <w:hyperlink r:id="rId17">
              <w:r>
                <w:rPr>
                  <w:rStyle w:val="InternetLink"/>
                  <w:rFonts w:ascii="Times New Roman;sans-serif" w:hAnsi="Times New Roman;sans-serif"/>
                  <w:b w:val="false"/>
                  <w:color w:val="000080"/>
                  <w:sz w:val="20"/>
                  <w:u w:val="single"/>
                </w:rPr>
                <w:t>mended and Restated Bylaws of Ouster,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001-39463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4.1</w:t>
              </w:r>
            </w:hyperlink>
          </w:p>
        </w:tc>
        <w:tc>
          <w:tcPr>
            <w:tcW w:w="37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ans-serif" w:hAnsi="Times New Roman;sans-serif"/>
                  <w:b w:val="false"/>
                  <w:color w:val="0000FF"/>
                  <w:sz w:val="20"/>
                  <w:u w:val="single"/>
                </w:rPr>
                <w:t>Warrant Agreement, dated August 20, 2020, between Colonnade Acquisition Corp. and Continental Stock Transfer &amp; Trust Company, as warrant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4.2</w:t>
              </w:r>
            </w:hyperlink>
          </w:p>
        </w:tc>
        <w:tc>
          <w:tcPr>
            <w:tcW w:w="37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ans-serif" w:hAnsi="Times New Roman;sans-serif"/>
                  <w:b w:val="false"/>
                  <w:color w:val="0000FF"/>
                  <w:sz w:val="20"/>
                  <w:u w:val="single"/>
                </w:rPr>
                <w:t>Specimen Warrant Certificate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333-240378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ex43descriptionofours.htm">
              <w:r>
                <w:rPr>
                  <w:rStyle w:val="InternetLink"/>
                  <w:rFonts w:ascii="Times New Roman;sans-serif" w:hAnsi="Times New Roman;sans-serif"/>
                  <w:b w:val="false"/>
                  <w:color w:val="0000FF"/>
                  <w:sz w:val="20"/>
                  <w:u w:val="single"/>
                </w:rPr>
                <w:t>4.3</w:t>
              </w:r>
            </w:hyperlink>
          </w:p>
        </w:tc>
        <w:tc>
          <w:tcPr>
            <w:tcW w:w="37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oust-ex43descriptionofours.htm">
              <w:r>
                <w:rPr>
                  <w:rStyle w:val="InternetLink"/>
                  <w:rFonts w:ascii="Times New Roman;sans-serif" w:hAnsi="Times New Roman;sans-serif"/>
                  <w:b w:val="false"/>
                  <w:color w:val="0000FF"/>
                  <w:sz w:val="20"/>
                  <w:u w:val="single"/>
                </w:rPr>
                <w:t>Description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4.4</w:t>
              </w:r>
            </w:hyperlink>
          </w:p>
        </w:tc>
        <w:tc>
          <w:tcPr>
            <w:tcW w:w="37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ans-serif" w:hAnsi="Times New Roman;sans-serif"/>
                  <w:b w:val="false"/>
                  <w:color w:val="0000FF"/>
                  <w:sz w:val="20"/>
                  <w:u w:val="single"/>
                </w:rPr>
                <w:t>Warrant to Purchase Common Stock of Velodyne Lidar, Inc., by and between Velodyne Lidar, Inc. and Amazon.com NV Investment Holdings LLC, dated as of February 4,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001-38703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4.5</w:t>
              </w:r>
            </w:hyperlink>
          </w:p>
        </w:tc>
        <w:tc>
          <w:tcPr>
            <w:tcW w:w="37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ans-serif" w:hAnsi="Times New Roman;sans-serif"/>
                  <w:b w:val="false"/>
                  <w:color w:val="0000FF"/>
                  <w:sz w:val="20"/>
                  <w:u w:val="single"/>
                </w:rPr>
                <w:t>Warrant Agreement, dated October 14, 2018, by and between Continental Stock Transfer &amp; Trust Company and Velodyne Lidar,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001-38703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10.1+</w:t>
              </w:r>
            </w:hyperlink>
          </w:p>
        </w:tc>
        <w:tc>
          <w:tcPr>
            <w:tcW w:w="37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ans-serif" w:hAnsi="Times New Roman;sans-serif"/>
                  <w:b w:val="false"/>
                  <w:color w:val="0000FF"/>
                  <w:sz w:val="20"/>
                  <w:u w:val="single"/>
                </w:rPr>
                <w:t>Form of Indemnification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10.2</w:t>
              </w:r>
            </w:hyperlink>
          </w:p>
        </w:tc>
        <w:tc>
          <w:tcPr>
            <w:tcW w:w="37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ans-serif" w:hAnsi="Times New Roman;sans-serif"/>
                  <w:b w:val="false"/>
                  <w:color w:val="0000FF"/>
                  <w:sz w:val="20"/>
                  <w:u w:val="single"/>
                </w:rPr>
                <w:t>Amended and Restated Registration Rights Agreement, by and among Ouster, Inc. and the holders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10.3+</w:t>
              </w:r>
            </w:hyperlink>
          </w:p>
        </w:tc>
        <w:tc>
          <w:tcPr>
            <w:tcW w:w="37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ans-serif" w:hAnsi="Times New Roman;sans-serif"/>
                  <w:b w:val="false"/>
                  <w:color w:val="0000FF"/>
                  <w:sz w:val="20"/>
                  <w:u w:val="single"/>
                </w:rPr>
                <w:t>2021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10.3(a)+</w:t>
              </w:r>
            </w:hyperlink>
          </w:p>
        </w:tc>
        <w:tc>
          <w:tcPr>
            <w:tcW w:w="37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ans-serif" w:hAnsi="Times New Roman;sans-serif"/>
                  <w:b w:val="false"/>
                  <w:color w:val="0000FF"/>
                  <w:sz w:val="20"/>
                  <w:u w:val="single"/>
                </w:rPr>
                <w:t>Form of Stock Option Agreement under the 2021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10.3(b)+</w:t>
              </w:r>
            </w:hyperlink>
          </w:p>
        </w:tc>
        <w:tc>
          <w:tcPr>
            <w:tcW w:w="37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Times New Roman;sans-serif" w:hAnsi="Times New Roman;sans-serif"/>
                  <w:b w:val="false"/>
                  <w:color w:val="0000FF"/>
                  <w:sz w:val="20"/>
                  <w:u w:val="single"/>
                </w:rPr>
                <w:t>Form of Restricted Stock Unit Agreement under the 2021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40" w:before="0" w:after="0"/>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tbl>
      <w:tblPr>
        <w:tblW w:w="10205" w:type="dxa"/>
        <w:jc w:val="left"/>
        <w:tblInd w:w="0" w:type="dxa"/>
        <w:tblLayout w:type="fixed"/>
        <w:tblCellMar>
          <w:top w:w="28" w:type="dxa"/>
          <w:left w:w="28" w:type="dxa"/>
          <w:bottom w:w="28" w:type="dxa"/>
          <w:right w:w="28" w:type="dxa"/>
        </w:tblCellMar>
      </w:tblPr>
      <w:tblGrid>
        <w:gridCol w:w="294"/>
        <w:gridCol w:w="223"/>
        <w:gridCol w:w="183"/>
        <w:gridCol w:w="1787"/>
        <w:gridCol w:w="1717"/>
        <w:gridCol w:w="1721"/>
        <w:gridCol w:w="109"/>
        <w:gridCol w:w="109"/>
        <w:gridCol w:w="109"/>
        <w:gridCol w:w="139"/>
        <w:gridCol w:w="124"/>
        <w:gridCol w:w="124"/>
        <w:gridCol w:w="109"/>
        <w:gridCol w:w="109"/>
        <w:gridCol w:w="109"/>
        <w:gridCol w:w="238"/>
        <w:gridCol w:w="238"/>
        <w:gridCol w:w="239"/>
        <w:gridCol w:w="109"/>
        <w:gridCol w:w="109"/>
        <w:gridCol w:w="109"/>
        <w:gridCol w:w="198"/>
        <w:gridCol w:w="198"/>
        <w:gridCol w:w="206"/>
        <w:gridCol w:w="109"/>
        <w:gridCol w:w="109"/>
        <w:gridCol w:w="109"/>
        <w:gridCol w:w="187"/>
        <w:gridCol w:w="187"/>
        <w:gridCol w:w="188"/>
        <w:gridCol w:w="109"/>
        <w:gridCol w:w="109"/>
        <w:gridCol w:w="109"/>
        <w:gridCol w:w="109"/>
        <w:gridCol w:w="109"/>
        <w:gridCol w:w="161"/>
      </w:tblGrid>
      <w:tr>
        <w:trPr/>
        <w:tc>
          <w:tcPr>
            <w:tcW w:w="29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10.4#</w:t>
              </w:r>
            </w:hyperlink>
          </w:p>
        </w:tc>
        <w:tc>
          <w:tcPr>
            <w:tcW w:w="52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ans-serif" w:hAnsi="Times New Roman;sans-serif"/>
                  <w:b w:val="false"/>
                  <w:color w:val="0000FF"/>
                  <w:sz w:val="20"/>
                  <w:u w:val="single"/>
                </w:rPr>
                <w:t>Manufacturing Services Agreement, dated as of March 5, 2018, by and between Ouster, Inc. and Benchmark Electronics,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333-251611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10.5</w:t>
              </w:r>
            </w:hyperlink>
          </w:p>
        </w:tc>
        <w:tc>
          <w:tcPr>
            <w:tcW w:w="52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Times New Roman;sans-serif" w:hAnsi="Times New Roman;sans-serif"/>
                  <w:b w:val="false"/>
                  <w:color w:val="0000FF"/>
                  <w:sz w:val="20"/>
                  <w:u w:val="single"/>
                </w:rPr>
                <w:t>Lease, dated September 5, 2017, by and between Ouster, Inc. and Mission Creative Ownership, LLC</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333-251611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10.5(a)</w:t>
              </w:r>
            </w:hyperlink>
          </w:p>
        </w:tc>
        <w:tc>
          <w:tcPr>
            <w:tcW w:w="522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1">
              <w:r>
                <w:rPr>
                  <w:rStyle w:val="InternetLink"/>
                  <w:rFonts w:ascii="Times New Roman;sans-serif" w:hAnsi="Times New Roman;sans-serif"/>
                  <w:b w:val="false"/>
                  <w:color w:val="0000FF"/>
                  <w:sz w:val="20"/>
                  <w:u w:val="single"/>
                </w:rPr>
                <w:t>First Amendment to Lease, dated January 21, 2018, by and between Ouster, Inc. and Mission Creative Ownership,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333-251611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10.5(b)</w:t>
              </w:r>
            </w:hyperlink>
          </w:p>
        </w:tc>
        <w:tc>
          <w:tcPr>
            <w:tcW w:w="522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3">
              <w:r>
                <w:rPr>
                  <w:rStyle w:val="InternetLink"/>
                  <w:rFonts w:ascii="Times New Roman;sans-serif" w:hAnsi="Times New Roman;sans-serif"/>
                  <w:b w:val="false"/>
                  <w:color w:val="0000FF"/>
                  <w:sz w:val="20"/>
                  <w:u w:val="single"/>
                </w:rPr>
                <w:t>Second Amendment to Lease, dated March 27, 2018, by and between Ouster, Inc. and Mission Creative Ownership,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333-251611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10.5(c)</w:t>
              </w:r>
            </w:hyperlink>
          </w:p>
        </w:tc>
        <w:tc>
          <w:tcPr>
            <w:tcW w:w="522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5">
              <w:r>
                <w:rPr>
                  <w:rStyle w:val="InternetLink"/>
                  <w:rFonts w:ascii="Times New Roman;sans-serif" w:hAnsi="Times New Roman;sans-serif"/>
                  <w:b w:val="false"/>
                  <w:color w:val="0000FF"/>
                  <w:sz w:val="20"/>
                  <w:u w:val="single"/>
                </w:rPr>
                <w:t>Third Amendment to Lease, dated August 14, 2018, by and between Ouster, Inc. and Mission Creative Ownership,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333-251611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20"/>
                  <w:u w:val="single"/>
                </w:rPr>
                <w:t>10.5(d)</w:t>
              </w:r>
            </w:hyperlink>
          </w:p>
        </w:tc>
        <w:tc>
          <w:tcPr>
            <w:tcW w:w="522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7">
              <w:r>
                <w:rPr>
                  <w:rStyle w:val="InternetLink"/>
                  <w:rFonts w:ascii="Times New Roman;sans-serif" w:hAnsi="Times New Roman;sans-serif"/>
                  <w:b w:val="false"/>
                  <w:color w:val="0000FF"/>
                  <w:sz w:val="20"/>
                  <w:u w:val="single"/>
                </w:rPr>
                <w:t>Fourth Amendment to Lease, dated April 4, 2019, by and between Ouster, Inc. and Mission Creative Ownership,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333-251611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20"/>
                  <w:u w:val="single"/>
                </w:rPr>
                <w:t>10.5(e)</w:t>
              </w:r>
            </w:hyperlink>
          </w:p>
        </w:tc>
        <w:tc>
          <w:tcPr>
            <w:tcW w:w="5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Fifth Amendment to Lease, dated July 21, 2019, by and between Ouster, Inc. and Mission Creative Ownership,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333-251611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20"/>
                  <w:u w:val="single"/>
                </w:rPr>
                <w:t>10.5(f)</w:t>
              </w:r>
            </w:hyperlink>
          </w:p>
        </w:tc>
        <w:tc>
          <w:tcPr>
            <w:tcW w:w="522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1">
              <w:r>
                <w:rPr>
                  <w:rStyle w:val="InternetLink"/>
                  <w:rFonts w:ascii="Times New Roman;sans-serif" w:hAnsi="Times New Roman;sans-serif"/>
                  <w:b w:val="false"/>
                  <w:color w:val="0000FF"/>
                  <w:sz w:val="20"/>
                  <w:u w:val="single"/>
                </w:rPr>
                <w:t>Sixth Amendment to Lease, dated December 20, 2019, by and between Ouster, Inc. and Mission Creative Ownership,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333-251611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ans-serif" w:hAnsi="Times New Roman;sans-serif"/>
                  <w:b w:val="false"/>
                  <w:color w:val="0000FF"/>
                  <w:sz w:val="20"/>
                  <w:u w:val="single"/>
                </w:rPr>
                <w:t>10.5(g)</w:t>
              </w:r>
            </w:hyperlink>
          </w:p>
        </w:tc>
        <w:tc>
          <w:tcPr>
            <w:tcW w:w="522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3">
              <w:r>
                <w:rPr>
                  <w:rStyle w:val="InternetLink"/>
                  <w:rFonts w:ascii="Times New Roman;sans-serif" w:hAnsi="Times New Roman;sans-serif"/>
                  <w:b w:val="false"/>
                  <w:color w:val="0000FF"/>
                  <w:sz w:val="20"/>
                  <w:u w:val="single"/>
                </w:rPr>
                <w:t>Seventh Amendment to Lease, dated May 18, 2020, by and between Ouster, Inc. and Mission Creative Ownership,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333-251611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FF"/>
                  <w:sz w:val="20"/>
                  <w:u w:val="single"/>
                </w:rPr>
                <w:t>10.6</w:t>
              </w:r>
            </w:hyperlink>
          </w:p>
        </w:tc>
        <w:tc>
          <w:tcPr>
            <w:tcW w:w="5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ans-serif" w:hAnsi="Times New Roman;sans-serif"/>
                  <w:b w:val="false"/>
                  <w:color w:val="0000FF"/>
                  <w:sz w:val="20"/>
                  <w:u w:val="single"/>
                </w:rPr>
                <w:t>NNN Lease, dated September 1, 2017, by and between Ouster, Inc. and SIC-350 Treat,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333-251611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FF"/>
                  <w:sz w:val="20"/>
                  <w:u w:val="single"/>
                </w:rPr>
                <w:t>10.6(a)</w:t>
              </w:r>
            </w:hyperlink>
          </w:p>
        </w:tc>
        <w:tc>
          <w:tcPr>
            <w:tcW w:w="52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7">
              <w:r>
                <w:rPr>
                  <w:rStyle w:val="InternetLink"/>
                  <w:rFonts w:ascii="Times New Roman;sans-serif" w:hAnsi="Times New Roman;sans-serif"/>
                  <w:b w:val="false"/>
                  <w:color w:val="0000FF"/>
                  <w:sz w:val="20"/>
                  <w:u w:val="single"/>
                </w:rPr>
                <w:t>First Amendment to NNN Lease, dated January 1, 2018, by and between Ouster, Inc. and SIC-350 Treat,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333-251611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ans-serif" w:hAnsi="Times New Roman;sans-serif"/>
                  <w:b w:val="false"/>
                  <w:color w:val="0000FF"/>
                  <w:sz w:val="20"/>
                  <w:u w:val="single"/>
                </w:rPr>
                <w:t>10.6(b)</w:t>
              </w:r>
            </w:hyperlink>
          </w:p>
        </w:tc>
        <w:tc>
          <w:tcPr>
            <w:tcW w:w="52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9">
              <w:r>
                <w:rPr>
                  <w:rStyle w:val="InternetLink"/>
                  <w:rFonts w:ascii="Times New Roman;sans-serif" w:hAnsi="Times New Roman;sans-serif"/>
                  <w:b w:val="false"/>
                  <w:color w:val="0000FF"/>
                  <w:sz w:val="20"/>
                  <w:u w:val="single"/>
                </w:rPr>
                <w:t>Second Amendment to NNN Lease, dated March 27, 2018, by and between Ouster, Inc. and SIC-350 Treat,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333-251611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10.14(b)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ans-serif" w:hAnsi="Times New Roman;sans-serif"/>
                  <w:b w:val="false"/>
                  <w:color w:val="0000FF"/>
                  <w:sz w:val="20"/>
                  <w:u w:val="single"/>
                </w:rPr>
                <w:t>10.6(c)</w:t>
              </w:r>
            </w:hyperlink>
          </w:p>
        </w:tc>
        <w:tc>
          <w:tcPr>
            <w:tcW w:w="52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1">
              <w:r>
                <w:rPr>
                  <w:rStyle w:val="InternetLink"/>
                  <w:rFonts w:ascii="Times New Roman;sans-serif" w:hAnsi="Times New Roman;sans-serif"/>
                  <w:b w:val="false"/>
                  <w:color w:val="0000FF"/>
                  <w:sz w:val="20"/>
                  <w:u w:val="single"/>
                </w:rPr>
                <w:t>Third Amendment to NNN Lease, dated November 15, 2021, by and between Ouster, Inc. and SIC-350 Treat,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ans-serif" w:hAnsi="Times New Roman;sans-serif"/>
                  <w:b w:val="false"/>
                  <w:color w:val="0000FF"/>
                  <w:sz w:val="20"/>
                  <w:u w:val="single"/>
                </w:rPr>
                <w:t>10.7</w:t>
              </w:r>
            </w:hyperlink>
          </w:p>
        </w:tc>
        <w:tc>
          <w:tcPr>
            <w:tcW w:w="522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3">
              <w:r>
                <w:rPr>
                  <w:rStyle w:val="InternetLink"/>
                  <w:rFonts w:ascii="Times New Roman;sans-serif" w:hAnsi="Times New Roman;sans-serif"/>
                  <w:b w:val="false"/>
                  <w:color w:val="0000FF"/>
                  <w:sz w:val="20"/>
                  <w:u w:val="single"/>
                </w:rPr>
                <w:t>Second Amended and Restated Non-Employee Director Compensation Program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001-39463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ans-serif" w:hAnsi="Times New Roman;sans-serif"/>
                  <w:b w:val="false"/>
                  <w:color w:val="0000FF"/>
                  <w:sz w:val="20"/>
                  <w:u w:val="single"/>
                </w:rPr>
                <w:t>10.8</w:t>
              </w:r>
            </w:hyperlink>
          </w:p>
        </w:tc>
        <w:tc>
          <w:tcPr>
            <w:tcW w:w="522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5">
              <w:r>
                <w:rPr>
                  <w:rStyle w:val="InternetLink"/>
                  <w:rFonts w:ascii="Times New Roman;sans-serif" w:hAnsi="Times New Roman;sans-serif"/>
                  <w:b w:val="false"/>
                  <w:color w:val="0000FF"/>
                  <w:sz w:val="20"/>
                  <w:u w:val="single"/>
                </w:rPr>
                <w:t>Agreement and Plan of Merger and Plan of Reorganization, dated as of October 5, 2021, by and among Ouster, Inc., Sparrow Acquisition Sub., Inc., Sense Photonics, Inc., and Fortis Advisors LLC, solely in its capacity as Holders’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ans-serif" w:hAnsi="Times New Roman;sans-serif"/>
                  <w:b w:val="false"/>
                  <w:color w:val="0000FF"/>
                  <w:sz w:val="20"/>
                  <w:u w:val="single"/>
                </w:rPr>
                <w:t>10.9+</w:t>
              </w:r>
            </w:hyperlink>
          </w:p>
        </w:tc>
        <w:tc>
          <w:tcPr>
            <w:tcW w:w="522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7">
              <w:r>
                <w:rPr>
                  <w:rStyle w:val="InternetLink"/>
                  <w:rFonts w:ascii="Times New Roman;sans-serif" w:hAnsi="Times New Roman;sans-serif"/>
                  <w:b w:val="false"/>
                  <w:color w:val="0000FF"/>
                  <w:sz w:val="20"/>
                  <w:u w:val="single"/>
                </w:rPr>
                <w:t>Sense Photonics, Inc. 2017 Equity Incentive Plan,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333-260576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Times New Roman;sans-serif" w:hAnsi="Times New Roman;sans-serif"/>
                  <w:b w:val="false"/>
                  <w:color w:val="0000FF"/>
                  <w:sz w:val="20"/>
                  <w:u w:val="single"/>
                </w:rPr>
                <w:t>10.9(a)+</w:t>
              </w:r>
            </w:hyperlink>
          </w:p>
        </w:tc>
        <w:tc>
          <w:tcPr>
            <w:tcW w:w="522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9">
              <w:r>
                <w:rPr>
                  <w:rStyle w:val="InternetLink"/>
                  <w:rFonts w:ascii="Times New Roman;sans-serif" w:hAnsi="Times New Roman;sans-serif"/>
                  <w:b w:val="false"/>
                  <w:color w:val="0000FF"/>
                  <w:sz w:val="20"/>
                  <w:u w:val="single"/>
                </w:rPr>
                <w:t>Form of Stock Option Agreement under the Sense Photonics, Inc. 2017 Equity Incentive Plan,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ans-serif" w:hAnsi="Times New Roman;sans-serif"/>
                  <w:b w:val="false"/>
                  <w:color w:val="0000FF"/>
                  <w:sz w:val="20"/>
                  <w:u w:val="single"/>
                </w:rPr>
                <w:t>10.10+</w:t>
              </w:r>
            </w:hyperlink>
          </w:p>
        </w:tc>
        <w:tc>
          <w:tcPr>
            <w:tcW w:w="522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1">
              <w:r>
                <w:rPr>
                  <w:rStyle w:val="InternetLink"/>
                  <w:rFonts w:ascii="Times New Roman;sans-serif" w:hAnsi="Times New Roman;sans-serif"/>
                  <w:b w:val="false"/>
                  <w:color w:val="0000FF"/>
                  <w:sz w:val="20"/>
                  <w:u w:val="single"/>
                </w:rPr>
                <w:t>Ouster, Inc. Amended and Restated 2015 Stock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333-254987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ans-serif" w:hAnsi="Times New Roman;sans-serif"/>
                  <w:b w:val="false"/>
                  <w:color w:val="0000FF"/>
                  <w:sz w:val="20"/>
                  <w:u w:val="single"/>
                </w:rPr>
                <w:t>10.10(a)+</w:t>
              </w:r>
            </w:hyperlink>
          </w:p>
        </w:tc>
        <w:tc>
          <w:tcPr>
            <w:tcW w:w="522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3">
              <w:r>
                <w:rPr>
                  <w:rStyle w:val="InternetLink"/>
                  <w:rFonts w:ascii="Times New Roman;sans-serif" w:hAnsi="Times New Roman;sans-serif"/>
                  <w:b w:val="false"/>
                  <w:color w:val="0000FF"/>
                  <w:sz w:val="20"/>
                  <w:u w:val="single"/>
                </w:rPr>
                <w:t>Form of Stock Option Agreement under the Amended and Restated 2015 Stock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333-254987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40" w:before="0" w:after="0"/>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tbl>
      <w:tblPr>
        <w:tblW w:w="10205" w:type="dxa"/>
        <w:jc w:val="left"/>
        <w:tblInd w:w="0" w:type="dxa"/>
        <w:tblLayout w:type="fixed"/>
        <w:tblCellMar>
          <w:top w:w="28" w:type="dxa"/>
          <w:left w:w="28" w:type="dxa"/>
          <w:bottom w:w="28" w:type="dxa"/>
          <w:right w:w="28" w:type="dxa"/>
        </w:tblCellMar>
      </w:tblPr>
      <w:tblGrid>
        <w:gridCol w:w="258"/>
        <w:gridCol w:w="226"/>
        <w:gridCol w:w="228"/>
        <w:gridCol w:w="2282"/>
        <w:gridCol w:w="1452"/>
        <w:gridCol w:w="1457"/>
        <w:gridCol w:w="109"/>
        <w:gridCol w:w="109"/>
        <w:gridCol w:w="109"/>
        <w:gridCol w:w="136"/>
        <w:gridCol w:w="121"/>
        <w:gridCol w:w="121"/>
        <w:gridCol w:w="109"/>
        <w:gridCol w:w="109"/>
        <w:gridCol w:w="109"/>
        <w:gridCol w:w="242"/>
        <w:gridCol w:w="242"/>
        <w:gridCol w:w="243"/>
        <w:gridCol w:w="109"/>
        <w:gridCol w:w="109"/>
        <w:gridCol w:w="109"/>
        <w:gridCol w:w="215"/>
        <w:gridCol w:w="209"/>
        <w:gridCol w:w="179"/>
        <w:gridCol w:w="109"/>
        <w:gridCol w:w="109"/>
        <w:gridCol w:w="109"/>
        <w:gridCol w:w="192"/>
        <w:gridCol w:w="192"/>
        <w:gridCol w:w="193"/>
        <w:gridCol w:w="109"/>
        <w:gridCol w:w="109"/>
        <w:gridCol w:w="109"/>
        <w:gridCol w:w="109"/>
        <w:gridCol w:w="109"/>
        <w:gridCol w:w="164"/>
      </w:tblGrid>
      <w:tr>
        <w:trPr/>
        <w:tc>
          <w:tcPr>
            <w:tcW w:w="2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Times New Roman;sans-serif" w:hAnsi="Times New Roman;sans-serif"/>
                  <w:b w:val="false"/>
                  <w:color w:val="0000FF"/>
                  <w:sz w:val="20"/>
                  <w:u w:val="single"/>
                </w:rPr>
                <w:t>10.10(b)+</w:t>
              </w:r>
            </w:hyperlink>
          </w:p>
        </w:tc>
        <w:tc>
          <w:tcPr>
            <w:tcW w:w="519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5">
              <w:r>
                <w:rPr>
                  <w:rStyle w:val="InternetLink"/>
                  <w:rFonts w:ascii="Times New Roman;sans-serif" w:hAnsi="Times New Roman;sans-serif"/>
                  <w:b w:val="false"/>
                  <w:color w:val="0000FF"/>
                  <w:sz w:val="20"/>
                  <w:u w:val="single"/>
                </w:rPr>
                <w:t>Form of Early Exercise Stock Option Agreement under the Amended and Restated 2015 Stock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333-254987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6">
              <w:r>
                <w:rPr>
                  <w:rStyle w:val="InternetLink"/>
                  <w:rFonts w:ascii="Times New Roman;sans-serif" w:hAnsi="Times New Roman;sans-serif"/>
                  <w:b w:val="false"/>
                  <w:color w:val="0000FF"/>
                  <w:sz w:val="20"/>
                  <w:u w:val="single"/>
                </w:rPr>
                <w:t>10.10(c)+</w:t>
              </w:r>
            </w:hyperlink>
          </w:p>
        </w:tc>
        <w:tc>
          <w:tcPr>
            <w:tcW w:w="519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7">
              <w:r>
                <w:rPr>
                  <w:rStyle w:val="InternetLink"/>
                  <w:rFonts w:ascii="Times New Roman;sans-serif" w:hAnsi="Times New Roman;sans-serif"/>
                  <w:b w:val="false"/>
                  <w:color w:val="0000FF"/>
                  <w:sz w:val="20"/>
                  <w:u w:val="single"/>
                </w:rPr>
                <w:t>Form of Restricted Stock Unit Agreement under the Amended and Restated 2015 Stock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333-254987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8">
              <w:r>
                <w:rPr>
                  <w:rStyle w:val="InternetLink"/>
                  <w:rFonts w:ascii="Times New Roman;sans-serif" w:hAnsi="Times New Roman;sans-serif"/>
                  <w:b w:val="false"/>
                  <w:color w:val="0000FF"/>
                  <w:sz w:val="20"/>
                  <w:u w:val="single"/>
                </w:rPr>
                <w:t>10.11+</w:t>
              </w:r>
            </w:hyperlink>
          </w:p>
        </w:tc>
        <w:tc>
          <w:tcPr>
            <w:tcW w:w="519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9">
              <w:r>
                <w:rPr>
                  <w:rStyle w:val="InternetLink"/>
                  <w:rFonts w:ascii="Times New Roman;sans-serif" w:hAnsi="Times New Roman;sans-serif"/>
                  <w:b w:val="false"/>
                  <w:color w:val="0000FF"/>
                  <w:sz w:val="20"/>
                  <w:u w:val="single"/>
                </w:rPr>
                <w:t>Ouster, Inc. 2022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0">
              <w:r>
                <w:rPr>
                  <w:rStyle w:val="InternetLink"/>
                  <w:rFonts w:ascii="Times New Roman;sans-serif" w:hAnsi="Times New Roman;sans-serif"/>
                  <w:b w:val="false"/>
                  <w:color w:val="0000FF"/>
                  <w:sz w:val="20"/>
                  <w:u w:val="single"/>
                </w:rPr>
                <w:t>10.12#</w:t>
              </w:r>
            </w:hyperlink>
          </w:p>
        </w:tc>
        <w:tc>
          <w:tcPr>
            <w:tcW w:w="519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1">
              <w:r>
                <w:rPr>
                  <w:rStyle w:val="InternetLink"/>
                  <w:rFonts w:ascii="Times New Roman;sans-serif" w:hAnsi="Times New Roman;sans-serif"/>
                  <w:b w:val="false"/>
                  <w:color w:val="0000FF"/>
                  <w:sz w:val="20"/>
                  <w:u w:val="single"/>
                </w:rPr>
                <w:t>Loan and Security Agreement, dated April 29, 2022, by and between the Company, Sense Photonics, Inc. and Hercules Capital,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2">
              <w:r>
                <w:rPr>
                  <w:rStyle w:val="InternetLink"/>
                  <w:rFonts w:ascii="Times New Roman;sans-serif" w:hAnsi="Times New Roman;sans-serif"/>
                  <w:b w:val="false"/>
                  <w:color w:val="0000FF"/>
                  <w:sz w:val="20"/>
                  <w:u w:val="single"/>
                </w:rPr>
                <w:t>10.12(a)</w:t>
              </w:r>
            </w:hyperlink>
          </w:p>
        </w:tc>
        <w:tc>
          <w:tcPr>
            <w:tcW w:w="519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3">
              <w:r>
                <w:rPr>
                  <w:rStyle w:val="InternetLink"/>
                  <w:rFonts w:ascii="Times New Roman;sans-serif" w:hAnsi="Times New Roman;sans-serif"/>
                  <w:b w:val="false"/>
                  <w:color w:val="0000FF"/>
                  <w:sz w:val="20"/>
                  <w:u w:val="single"/>
                </w:rPr>
                <w:t>First Amendment to Loan and Security Agreement, dated as of August 5, 2022, by and between the Company, Sense Photonics, Inc. and Hercules Capital,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4">
              <w:r>
                <w:rPr>
                  <w:rStyle w:val="InternetLink"/>
                  <w:rFonts w:ascii="Times New Roman;sans-serif" w:hAnsi="Times New Roman;sans-serif"/>
                  <w:b w:val="false"/>
                  <w:color w:val="0000FF"/>
                  <w:sz w:val="20"/>
                  <w:u w:val="single"/>
                </w:rPr>
                <w:t>10.12(b)</w:t>
              </w:r>
            </w:hyperlink>
          </w:p>
        </w:tc>
        <w:tc>
          <w:tcPr>
            <w:tcW w:w="519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5">
              <w:r>
                <w:rPr>
                  <w:rStyle w:val="InternetLink"/>
                  <w:rFonts w:ascii="Times New Roman;sans-serif" w:hAnsi="Times New Roman;sans-serif"/>
                  <w:b w:val="false"/>
                  <w:color w:val="0000FF"/>
                  <w:sz w:val="20"/>
                  <w:u w:val="single"/>
                </w:rPr>
                <w:t>Consent and Second Amendment to Loan and Security Agreement, dated November 1, 2022, by and among Ouster, Inc., Sense Photonics, Inc. and Hercules Capital,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6">
              <w:r>
                <w:rPr>
                  <w:rStyle w:val="InternetLink"/>
                  <w:rFonts w:ascii="Times New Roman;sans-serif" w:hAnsi="Times New Roman;sans-serif"/>
                  <w:b w:val="false"/>
                  <w:color w:val="0000FF"/>
                  <w:sz w:val="20"/>
                  <w:u w:val="single"/>
                </w:rPr>
                <w:t>10.12(c)</w:t>
              </w:r>
            </w:hyperlink>
          </w:p>
        </w:tc>
        <w:tc>
          <w:tcPr>
            <w:tcW w:w="519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87">
              <w:r>
                <w:rPr>
                  <w:rStyle w:val="InternetLink"/>
                  <w:rFonts w:ascii="Times New Roman;sans-serif" w:hAnsi="Times New Roman;sans-serif"/>
                  <w:b w:val="false"/>
                  <w:color w:val="0000FF"/>
                  <w:sz w:val="20"/>
                  <w:u w:val="single"/>
                </w:rPr>
                <w:t>Third Amendment to Loan and Security Agreement, dated February 10, 2023, by and among Ouster, Inc., Hercules Capital, Inc., and the lenders and guarantors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001-39463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10.12(c)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8">
              <w:r>
                <w:rPr>
                  <w:rStyle w:val="InternetLink"/>
                  <w:rFonts w:ascii="Times New Roman;sans-serif" w:hAnsi="Times New Roman;sans-serif"/>
                  <w:b w:val="false"/>
                  <w:color w:val="000080"/>
                  <w:sz w:val="20"/>
                  <w:u w:val="single"/>
                </w:rPr>
                <w:t>10.1</w:t>
              </w:r>
            </w:hyperlink>
            <w:hyperlink r:id="rId89">
              <w:r>
                <w:rPr>
                  <w:rStyle w:val="InternetLink"/>
                  <w:rFonts w:ascii="Times New Roman;sans-serif" w:hAnsi="Times New Roman;sans-serif"/>
                  <w:b w:val="false"/>
                  <w:color w:val="000080"/>
                  <w:sz w:val="20"/>
                  <w:u w:val="single"/>
                </w:rPr>
                <w:t>3</w:t>
              </w:r>
            </w:hyperlink>
            <w:hyperlink r:id="rId90">
              <w:r>
                <w:rPr>
                  <w:rStyle w:val="InternetLink"/>
                  <w:rFonts w:ascii="Times New Roman;sans-serif" w:hAnsi="Times New Roman;sans-serif"/>
                  <w:b w:val="false"/>
                  <w:color w:val="000080"/>
                  <w:sz w:val="20"/>
                  <w:u w:val="single"/>
                </w:rPr>
                <w:t>+</w:t>
              </w:r>
            </w:hyperlink>
          </w:p>
        </w:tc>
        <w:tc>
          <w:tcPr>
            <w:tcW w:w="519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1">
              <w:r>
                <w:rPr>
                  <w:rStyle w:val="InternetLink"/>
                  <w:rFonts w:ascii="Times New Roman;sans-serif" w:hAnsi="Times New Roman;sans-serif"/>
                  <w:b w:val="false"/>
                  <w:color w:val="0000FF"/>
                  <w:sz w:val="20"/>
                  <w:u w:val="single"/>
                </w:rPr>
                <w:t>Form of Severance and Change in Control Agreement of Velodyne Lidar,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001-38703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2">
              <w:r>
                <w:rPr>
                  <w:rStyle w:val="InternetLink"/>
                  <w:rFonts w:ascii="Times New Roman;sans-serif" w:hAnsi="Times New Roman;sans-serif"/>
                  <w:b w:val="false"/>
                  <w:color w:val="000080"/>
                  <w:sz w:val="20"/>
                  <w:u w:val="single"/>
                </w:rPr>
                <w:t>10.1</w:t>
              </w:r>
            </w:hyperlink>
            <w:hyperlink r:id="rId93">
              <w:r>
                <w:rPr>
                  <w:rStyle w:val="InternetLink"/>
                  <w:rFonts w:ascii="Times New Roman;sans-serif" w:hAnsi="Times New Roman;sans-serif"/>
                  <w:b w:val="false"/>
                  <w:color w:val="000080"/>
                  <w:sz w:val="20"/>
                  <w:u w:val="single"/>
                </w:rPr>
                <w:t>4</w:t>
              </w:r>
            </w:hyperlink>
            <w:hyperlink r:id="rId94">
              <w:r>
                <w:rPr>
                  <w:rStyle w:val="InternetLink"/>
                  <w:rFonts w:ascii="Times New Roman;sans-serif" w:hAnsi="Times New Roman;sans-serif"/>
                  <w:b w:val="false"/>
                  <w:color w:val="000080"/>
                  <w:sz w:val="20"/>
                  <w:u w:val="single"/>
                </w:rPr>
                <w:t>+</w:t>
              </w:r>
            </w:hyperlink>
          </w:p>
        </w:tc>
        <w:tc>
          <w:tcPr>
            <w:tcW w:w="519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5">
              <w:r>
                <w:rPr>
                  <w:rStyle w:val="InternetLink"/>
                  <w:rFonts w:ascii="Times New Roman;sans-serif" w:hAnsi="Times New Roman;sans-serif"/>
                  <w:b w:val="false"/>
                  <w:color w:val="0000FF"/>
                  <w:sz w:val="20"/>
                  <w:u w:val="single"/>
                </w:rPr>
                <w:t>Offer Letter, by and between Ouster, Inc. and Darien Spencer, dated July 25, 2017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6">
              <w:r>
                <w:rPr>
                  <w:rStyle w:val="InternetLink"/>
                  <w:rFonts w:ascii="Times New Roman;sans-serif" w:hAnsi="Times New Roman;sans-serif"/>
                  <w:b w:val="false"/>
                  <w:color w:val="000080"/>
                  <w:sz w:val="20"/>
                  <w:u w:val="single"/>
                </w:rPr>
                <w:t>10.1</w:t>
              </w:r>
            </w:hyperlink>
            <w:hyperlink r:id="rId97">
              <w:r>
                <w:rPr>
                  <w:rStyle w:val="InternetLink"/>
                  <w:rFonts w:ascii="Times New Roman;sans-serif" w:hAnsi="Times New Roman;sans-serif"/>
                  <w:b w:val="false"/>
                  <w:color w:val="000080"/>
                  <w:sz w:val="20"/>
                  <w:u w:val="single"/>
                </w:rPr>
                <w:t>5</w:t>
              </w:r>
            </w:hyperlink>
            <w:hyperlink r:id="rId98">
              <w:r>
                <w:rPr>
                  <w:rStyle w:val="InternetLink"/>
                  <w:rFonts w:ascii="Times New Roman;sans-serif" w:hAnsi="Times New Roman;sans-serif"/>
                  <w:b w:val="false"/>
                  <w:color w:val="000080"/>
                  <w:sz w:val="20"/>
                  <w:u w:val="single"/>
                </w:rPr>
                <w:t>+</w:t>
              </w:r>
            </w:hyperlink>
          </w:p>
        </w:tc>
        <w:tc>
          <w:tcPr>
            <w:tcW w:w="519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99">
              <w:r>
                <w:rPr>
                  <w:rStyle w:val="InternetLink"/>
                  <w:rFonts w:ascii="Times New Roman;sans-serif" w:hAnsi="Times New Roman;sans-serif"/>
                  <w:b w:val="false"/>
                  <w:color w:val="0000FF"/>
                  <w:sz w:val="20"/>
                  <w:u w:val="single"/>
                </w:rPr>
                <w:t>Executive Employment Agreement by and between Velodyne Lidar, Inc. and Mark Weinswig, dated May 3,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001-38703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0">
              <w:r>
                <w:rPr>
                  <w:rStyle w:val="InternetLink"/>
                  <w:rFonts w:ascii="Times New Roman;sans-serif" w:hAnsi="Times New Roman;sans-serif"/>
                  <w:b w:val="false"/>
                  <w:color w:val="000080"/>
                  <w:sz w:val="20"/>
                  <w:u w:val="single"/>
                </w:rPr>
                <w:t>10.1</w:t>
              </w:r>
            </w:hyperlink>
            <w:hyperlink r:id="rId101">
              <w:r>
                <w:rPr>
                  <w:rStyle w:val="InternetLink"/>
                  <w:rFonts w:ascii="Times New Roman;sans-serif" w:hAnsi="Times New Roman;sans-serif"/>
                  <w:b w:val="false"/>
                  <w:color w:val="000080"/>
                  <w:sz w:val="20"/>
                  <w:u w:val="single"/>
                </w:rPr>
                <w:t>6</w:t>
              </w:r>
            </w:hyperlink>
            <w:hyperlink r:id="rId102">
              <w:r>
                <w:rPr>
                  <w:rStyle w:val="InternetLink"/>
                  <w:rFonts w:ascii="Times New Roman;sans-serif" w:hAnsi="Times New Roman;sans-serif"/>
                  <w:b w:val="false"/>
                  <w:color w:val="000080"/>
                  <w:sz w:val="20"/>
                  <w:u w:val="single"/>
                </w:rPr>
                <w:t>+</w:t>
              </w:r>
            </w:hyperlink>
          </w:p>
        </w:tc>
        <w:tc>
          <w:tcPr>
            <w:tcW w:w="519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3">
              <w:r>
                <w:rPr>
                  <w:rStyle w:val="InternetLink"/>
                  <w:rFonts w:ascii="Times New Roman;sans-serif" w:hAnsi="Times New Roman;sans-serif"/>
                  <w:b w:val="false"/>
                  <w:color w:val="0000FF"/>
                  <w:sz w:val="20"/>
                  <w:u w:val="single"/>
                </w:rPr>
                <w:t>Velodyne Lidar, Inc. 2020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001-38703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4">
              <w:r>
                <w:rPr>
                  <w:rStyle w:val="InternetLink"/>
                  <w:rFonts w:ascii="Times New Roman;sans-serif" w:hAnsi="Times New Roman;sans-serif"/>
                  <w:b w:val="false"/>
                  <w:color w:val="0000FF"/>
                  <w:sz w:val="20"/>
                  <w:u w:val="single"/>
                </w:rPr>
                <w:t>10.17+</w:t>
              </w:r>
            </w:hyperlink>
          </w:p>
        </w:tc>
        <w:tc>
          <w:tcPr>
            <w:tcW w:w="519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5">
              <w:r>
                <w:rPr>
                  <w:rStyle w:val="InternetLink"/>
                  <w:rFonts w:ascii="Times New Roman;sans-serif" w:hAnsi="Times New Roman;sans-serif"/>
                  <w:b w:val="false"/>
                  <w:color w:val="0000FF"/>
                  <w:sz w:val="20"/>
                  <w:u w:val="single"/>
                </w:rPr>
                <w:t>Form of Stock Option Agreement under the Velodyne Lidar, Inc. 2020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001-38703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6">
              <w:r>
                <w:rPr>
                  <w:rStyle w:val="InternetLink"/>
                  <w:rFonts w:ascii="Times New Roman;sans-serif" w:hAnsi="Times New Roman;sans-serif"/>
                  <w:b w:val="false"/>
                  <w:color w:val="0000FF"/>
                  <w:sz w:val="20"/>
                  <w:u w:val="single"/>
                </w:rPr>
                <w:t>10.18+</w:t>
              </w:r>
            </w:hyperlink>
          </w:p>
        </w:tc>
        <w:tc>
          <w:tcPr>
            <w:tcW w:w="519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7">
              <w:r>
                <w:rPr>
                  <w:rStyle w:val="InternetLink"/>
                  <w:rFonts w:ascii="Times New Roman;sans-serif" w:hAnsi="Times New Roman;sans-serif"/>
                  <w:b w:val="false"/>
                  <w:color w:val="0000FF"/>
                  <w:sz w:val="20"/>
                  <w:u w:val="single"/>
                </w:rPr>
                <w:t>Form of Restricted Stock Unit Agreement under the Velodyne Lidar, Inc. 2020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333-269748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99.1(b)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8">
              <w:r>
                <w:rPr>
                  <w:rStyle w:val="InternetLink"/>
                  <w:rFonts w:ascii="Times New Roman;sans-serif" w:hAnsi="Times New Roman;sans-serif"/>
                  <w:b w:val="false"/>
                  <w:color w:val="0000FF"/>
                  <w:sz w:val="20"/>
                  <w:u w:val="single"/>
                </w:rPr>
                <w:t>10.19</w:t>
              </w:r>
            </w:hyperlink>
          </w:p>
        </w:tc>
        <w:tc>
          <w:tcPr>
            <w:tcW w:w="519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9">
              <w:r>
                <w:rPr>
                  <w:rStyle w:val="InternetLink"/>
                  <w:rFonts w:ascii="Times New Roman;sans-serif" w:hAnsi="Times New Roman;sans-serif"/>
                  <w:b w:val="false"/>
                  <w:color w:val="0000FF"/>
                  <w:sz w:val="20"/>
                  <w:u w:val="single"/>
                </w:rPr>
                <w:t>Transaction Agreement, by and between Velodyne Lidar, Inc. and Amazon.com, Inc., dated as of February 4,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001-38703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0">
              <w:r>
                <w:rPr>
                  <w:rStyle w:val="InternetLink"/>
                  <w:rFonts w:ascii="Times New Roman;sans-serif" w:hAnsi="Times New Roman;sans-serif"/>
                  <w:b w:val="false"/>
                  <w:color w:val="000080"/>
                  <w:sz w:val="20"/>
                  <w:u w:val="single"/>
                </w:rPr>
                <w:t>10.2</w:t>
              </w:r>
            </w:hyperlink>
            <w:hyperlink r:id="rId111">
              <w:r>
                <w:rPr>
                  <w:rStyle w:val="InternetLink"/>
                  <w:rFonts w:ascii="Times New Roman;sans-serif" w:hAnsi="Times New Roman;sans-serif"/>
                  <w:b w:val="false"/>
                  <w:color w:val="000080"/>
                  <w:sz w:val="20"/>
                  <w:u w:val="single"/>
                </w:rPr>
                <w:t>0</w:t>
              </w:r>
            </w:hyperlink>
          </w:p>
        </w:tc>
        <w:tc>
          <w:tcPr>
            <w:tcW w:w="519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2">
              <w:r>
                <w:rPr>
                  <w:rStyle w:val="InternetLink"/>
                  <w:rFonts w:ascii="Times New Roman;sans-serif" w:hAnsi="Times New Roman;sans-serif"/>
                  <w:b w:val="false"/>
                  <w:color w:val="000080"/>
                  <w:sz w:val="20"/>
                  <w:u w:val="single"/>
                </w:rPr>
                <w:t>Joinder Agreement by and between Velodyne Lidar USA, Inc. and Hercules Capital</w:t>
              </w:r>
            </w:hyperlink>
            <w:hyperlink r:id="rId113">
              <w:r>
                <w:rPr>
                  <w:rStyle w:val="InternetLink"/>
                  <w:rFonts w:ascii="Times New Roman;sans-serif" w:hAnsi="Times New Roman;sans-serif"/>
                  <w:b w:val="false"/>
                  <w:color w:val="000080"/>
                  <w:sz w:val="20"/>
                  <w:u w:val="single"/>
                </w:rPr>
                <w:t>, Inc., dated May 9,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001-39463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4">
              <w:r>
                <w:rPr>
                  <w:rStyle w:val="InternetLink"/>
                  <w:rFonts w:ascii="Times New Roman;sans-serif" w:hAnsi="Times New Roman;sans-serif"/>
                  <w:b w:val="false"/>
                  <w:color w:val="0000FF"/>
                  <w:sz w:val="20"/>
                  <w:u w:val="single"/>
                </w:rPr>
                <w:t>10.21</w:t>
              </w:r>
            </w:hyperlink>
          </w:p>
        </w:tc>
        <w:tc>
          <w:tcPr>
            <w:tcW w:w="519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5">
              <w:r>
                <w:rPr>
                  <w:rStyle w:val="InternetLink"/>
                  <w:rFonts w:ascii="Times New Roman;sans-serif" w:hAnsi="Times New Roman;sans-serif"/>
                  <w:b w:val="false"/>
                  <w:color w:val="000080"/>
                  <w:sz w:val="20"/>
                  <w:u w:val="single"/>
                </w:rPr>
                <w:t>C</w:t>
              </w:r>
            </w:hyperlink>
            <w:hyperlink r:id="rId116">
              <w:r>
                <w:rPr>
                  <w:rStyle w:val="InternetLink"/>
                  <w:rFonts w:ascii="Times New Roman;sans-serif" w:hAnsi="Times New Roman;sans-serif"/>
                  <w:b w:val="false"/>
                  <w:color w:val="000080"/>
                  <w:sz w:val="20"/>
                  <w:u w:val="single"/>
                </w:rPr>
                <w:t>red</w:t>
              </w:r>
            </w:hyperlink>
            <w:hyperlink r:id="rId117">
              <w:r>
                <w:rPr>
                  <w:rStyle w:val="InternetLink"/>
                  <w:rFonts w:ascii="Times New Roman;sans-serif" w:hAnsi="Times New Roman;sans-serif"/>
                  <w:b w:val="false"/>
                  <w:color w:val="000080"/>
                  <w:sz w:val="20"/>
                  <w:u w:val="single"/>
                </w:rPr>
                <w:t>it Line Ag</w:t>
              </w:r>
            </w:hyperlink>
            <w:hyperlink r:id="rId118">
              <w:r>
                <w:rPr>
                  <w:rStyle w:val="InternetLink"/>
                  <w:rFonts w:ascii="Times New Roman;sans-serif" w:hAnsi="Times New Roman;sans-serif"/>
                  <w:b w:val="false"/>
                  <w:color w:val="000080"/>
                  <w:sz w:val="20"/>
                  <w:u w:val="single"/>
                </w:rPr>
                <w:t>reement for Organizations and Business and Addendum</w:t>
              </w:r>
            </w:hyperlink>
            <w:hyperlink r:id="rId119">
              <w:r>
                <w:rPr>
                  <w:rStyle w:val="InternetLink"/>
                  <w:rFonts w:ascii="Times New Roman;sans-serif" w:hAnsi="Times New Roman;sans-serif"/>
                  <w:b w:val="false"/>
                  <w:color w:val="000080"/>
                  <w:sz w:val="20"/>
                  <w:u w:val="single"/>
                </w:rPr>
                <w:t>, date</w:t>
              </w:r>
            </w:hyperlink>
            <w:hyperlink r:id="rId120">
              <w:r>
                <w:rPr>
                  <w:rStyle w:val="InternetLink"/>
                  <w:rFonts w:ascii="Times New Roman;sans-serif" w:hAnsi="Times New Roman;sans-serif"/>
                  <w:b w:val="false"/>
                  <w:color w:val="000080"/>
                  <w:sz w:val="20"/>
                  <w:u w:val="single"/>
                </w:rPr>
                <w:t>d</w:t>
              </w:r>
            </w:hyperlink>
            <w:hyperlink r:id="rId121">
              <w:r>
                <w:rPr>
                  <w:rStyle w:val="InternetLink"/>
                  <w:rFonts w:ascii="Times New Roman;sans-serif" w:hAnsi="Times New Roman;sans-serif"/>
                  <w:b w:val="false"/>
                  <w:color w:val="000080"/>
                  <w:sz w:val="20"/>
                  <w:u w:val="single"/>
                </w:rPr>
                <w:t xml:space="preserve"> October 25, 2023, by and between the Company, UBS </w:t>
              </w:r>
            </w:hyperlink>
            <w:hyperlink r:id="rId122">
              <w:r>
                <w:rPr>
                  <w:rStyle w:val="InternetLink"/>
                  <w:rFonts w:ascii="Times New Roman;sans-serif" w:hAnsi="Times New Roman;sans-serif"/>
                  <w:b w:val="false"/>
                  <w:color w:val="000080"/>
                  <w:sz w:val="20"/>
                  <w:u w:val="single"/>
                </w:rPr>
                <w:t>Bank USA, and UBS Financial Services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001-39463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ex211listofsubsidiari.htm">
              <w:r>
                <w:rPr>
                  <w:rStyle w:val="InternetLink"/>
                  <w:rFonts w:ascii="Times New Roman;sans-serif" w:hAnsi="Times New Roman;sans-serif"/>
                  <w:b w:val="false"/>
                  <w:color w:val="0000FF"/>
                  <w:sz w:val="20"/>
                  <w:u w:val="single"/>
                </w:rPr>
                <w:t>21.1</w:t>
              </w:r>
            </w:hyperlink>
          </w:p>
        </w:tc>
        <w:tc>
          <w:tcPr>
            <w:tcW w:w="519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oust-ex211listofsubsidiari.htm">
              <w:r>
                <w:rPr>
                  <w:rStyle w:val="InternetLink"/>
                  <w:rFonts w:ascii="Times New Roman;sans-serif" w:hAnsi="Times New Roman;sans-serif"/>
                  <w:b w:val="false"/>
                  <w:color w:val="0000FF"/>
                  <w:sz w:val="20"/>
                  <w:u w:val="single"/>
                </w:rPr>
                <w:t>List of Subsidiaries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ex231consentofpwc.htm">
              <w:r>
                <w:rPr>
                  <w:rStyle w:val="InternetLink"/>
                  <w:rFonts w:ascii="Times New Roman;sans-serif" w:hAnsi="Times New Roman;sans-serif"/>
                  <w:b w:val="false"/>
                  <w:color w:val="0000FF"/>
                  <w:sz w:val="20"/>
                  <w:u w:val="single"/>
                </w:rPr>
                <w:t>23.1</w:t>
              </w:r>
            </w:hyperlink>
          </w:p>
        </w:tc>
        <w:tc>
          <w:tcPr>
            <w:tcW w:w="519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oust-ex231consentofpwc.htm">
              <w:r>
                <w:rPr>
                  <w:rStyle w:val="InternetLink"/>
                  <w:rFonts w:ascii="Times New Roman;sans-serif" w:hAnsi="Times New Roman;sans-serif"/>
                  <w:b w:val="false"/>
                  <w:color w:val="0000FF"/>
                  <w:sz w:val="20"/>
                  <w:u w:val="single"/>
                </w:rPr>
                <w:t>Consent of PricewaterhouseCoopers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ex241powerofattorney.htm">
              <w:r>
                <w:rPr>
                  <w:rStyle w:val="InternetLink"/>
                  <w:rFonts w:ascii="Times New Roman;sans-serif" w:hAnsi="Times New Roman;sans-serif"/>
                  <w:b w:val="false"/>
                  <w:color w:val="0000FF"/>
                  <w:sz w:val="20"/>
                  <w:u w:val="single"/>
                </w:rPr>
                <w:t>24.1</w:t>
              </w:r>
            </w:hyperlink>
          </w:p>
        </w:tc>
        <w:tc>
          <w:tcPr>
            <w:tcW w:w="519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oust-ex241powerofattorney.htm">
              <w:r>
                <w:rPr>
                  <w:rStyle w:val="InternetLink"/>
                  <w:rFonts w:ascii="Times New Roman;sans-serif" w:hAnsi="Times New Roman;sans-serif"/>
                  <w:b w:val="false"/>
                  <w:color w:val="0000FF"/>
                  <w:sz w:val="20"/>
                  <w:u w:val="single"/>
                </w:rPr>
                <w:t>Power of Attorney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ex311xceo.htm">
              <w:r>
                <w:rPr>
                  <w:rStyle w:val="InternetLink"/>
                  <w:rFonts w:ascii="Times New Roman;sans-serif" w:hAnsi="Times New Roman;sans-serif"/>
                  <w:b w:val="false"/>
                  <w:color w:val="0000FF"/>
                  <w:sz w:val="20"/>
                  <w:u w:val="single"/>
                </w:rPr>
                <w:t>31.1</w:t>
              </w:r>
            </w:hyperlink>
          </w:p>
        </w:tc>
        <w:tc>
          <w:tcPr>
            <w:tcW w:w="519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oust-ex311xceo.htm">
              <w:r>
                <w:rPr>
                  <w:rStyle w:val="InternetLink"/>
                  <w:rFonts w:ascii="Times New Roman;sans-serif" w:hAnsi="Times New Roman;sans-serif"/>
                  <w:b w:val="false"/>
                  <w:color w:val="0000FF"/>
                  <w:sz w:val="20"/>
                  <w:u w:val="single"/>
                </w:rPr>
                <w:t>Certification of Chief Executive Officer pursuant to Rules 13a-14(a)/15d-14(a)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ex312xcfo.htm">
              <w:r>
                <w:rPr>
                  <w:rStyle w:val="InternetLink"/>
                  <w:rFonts w:ascii="Times New Roman;sans-serif" w:hAnsi="Times New Roman;sans-serif"/>
                  <w:b w:val="false"/>
                  <w:color w:val="0000FF"/>
                  <w:sz w:val="20"/>
                  <w:u w:val="single"/>
                </w:rPr>
                <w:t>31.2</w:t>
              </w:r>
            </w:hyperlink>
          </w:p>
        </w:tc>
        <w:tc>
          <w:tcPr>
            <w:tcW w:w="519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oust-ex312xcfo.htm">
              <w:r>
                <w:rPr>
                  <w:rStyle w:val="InternetLink"/>
                  <w:rFonts w:ascii="Times New Roman;sans-serif" w:hAnsi="Times New Roman;sans-serif"/>
                  <w:b w:val="false"/>
                  <w:color w:val="0000FF"/>
                  <w:sz w:val="20"/>
                  <w:u w:val="single"/>
                </w:rPr>
                <w:t>Certification of Chief Financial Officer pursuant to Rules 13a-14(a)/15d-14(a)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ex321xceo.htm">
              <w:r>
                <w:rPr>
                  <w:rStyle w:val="InternetLink"/>
                  <w:rFonts w:ascii="Times New Roman;sans-serif" w:hAnsi="Times New Roman;sans-serif"/>
                  <w:b w:val="false"/>
                  <w:color w:val="0000FF"/>
                  <w:sz w:val="20"/>
                  <w:u w:val="single"/>
                </w:rPr>
                <w:t>32.1</w:t>
              </w:r>
            </w:hyperlink>
          </w:p>
        </w:tc>
        <w:tc>
          <w:tcPr>
            <w:tcW w:w="519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oust-ex321xceo.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40" w:before="0" w:after="0"/>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tbl>
      <w:tblPr>
        <w:tblW w:w="10205" w:type="dxa"/>
        <w:jc w:val="left"/>
        <w:tblInd w:w="0" w:type="dxa"/>
        <w:tblLayout w:type="fixed"/>
        <w:tblCellMar>
          <w:top w:w="28" w:type="dxa"/>
          <w:left w:w="28" w:type="dxa"/>
          <w:bottom w:w="28" w:type="dxa"/>
          <w:right w:w="28" w:type="dxa"/>
        </w:tblCellMar>
      </w:tblPr>
      <w:tblGrid>
        <w:gridCol w:w="245"/>
        <w:gridCol w:w="200"/>
        <w:gridCol w:w="201"/>
        <w:gridCol w:w="2079"/>
        <w:gridCol w:w="2079"/>
        <w:gridCol w:w="2083"/>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24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ex322xcfo.htm">
              <w:r>
                <w:rPr>
                  <w:rStyle w:val="InternetLink"/>
                  <w:rFonts w:ascii="Times New Roman;sans-serif" w:hAnsi="Times New Roman;sans-serif"/>
                  <w:b w:val="false"/>
                  <w:color w:val="0000FF"/>
                  <w:sz w:val="20"/>
                  <w:u w:val="single"/>
                </w:rPr>
                <w:t>32.2</w:t>
              </w:r>
            </w:hyperlink>
          </w:p>
        </w:tc>
        <w:tc>
          <w:tcPr>
            <w:tcW w:w="624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oust-ex322xcfo.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ex971xerroneouslyawar.htm">
              <w:r>
                <w:rPr>
                  <w:rStyle w:val="InternetLink"/>
                  <w:rFonts w:ascii="Times New Roman;sans-serif" w:hAnsi="Times New Roman;sans-serif"/>
                  <w:b w:val="false"/>
                  <w:color w:val="0000FF"/>
                  <w:sz w:val="20"/>
                  <w:u w:val="single"/>
                </w:rPr>
                <w:t>97.1</w:t>
              </w:r>
            </w:hyperlink>
          </w:p>
        </w:tc>
        <w:tc>
          <w:tcPr>
            <w:tcW w:w="624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oust-ex971xerroneouslyawar.htm">
              <w:r>
                <w:rPr>
                  <w:rStyle w:val="InternetLink"/>
                  <w:rFonts w:ascii="Times New Roman;sans-serif" w:hAnsi="Times New Roman;sans-serif"/>
                  <w:b w:val="false"/>
                  <w:color w:val="000080"/>
                  <w:sz w:val="20"/>
                  <w:u w:val="single"/>
                </w:rPr>
                <w:t>P</w:t>
              </w:r>
            </w:hyperlink>
            <w:hyperlink w:anchor="oust-ex971xerroneouslyawar.htm">
              <w:r>
                <w:rPr>
                  <w:rStyle w:val="InternetLink"/>
                  <w:rFonts w:ascii="Times New Roman;sans-serif" w:hAnsi="Times New Roman;sans-serif"/>
                  <w:b w:val="false"/>
                  <w:color w:val="000080"/>
                  <w:sz w:val="20"/>
                  <w:u w:val="single"/>
                </w:rPr>
                <w:t xml:space="preserve">olicy for </w:t>
              </w:r>
            </w:hyperlink>
            <w:hyperlink w:anchor="oust-ex971xerroneouslyawar.htm">
              <w:r>
                <w:rPr>
                  <w:rStyle w:val="InternetLink"/>
                  <w:rFonts w:ascii="Times New Roman;sans-serif" w:hAnsi="Times New Roman;sans-serif"/>
                  <w:b w:val="false"/>
                  <w:color w:val="000080"/>
                  <w:sz w:val="20"/>
                  <w:u w:val="single"/>
                </w:rPr>
                <w:t>Recovery of Erroneously Award</w:t>
              </w:r>
            </w:hyperlink>
            <w:hyperlink w:anchor="oust-ex971xerroneouslyawar.htm">
              <w:r>
                <w:rPr>
                  <w:rStyle w:val="InternetLink"/>
                  <w:rFonts w:ascii="Times New Roman;sans-serif" w:hAnsi="Times New Roman;sans-serif"/>
                  <w:b w:val="false"/>
                  <w:color w:val="000080"/>
                  <w:sz w:val="20"/>
                  <w:u w:val="single"/>
                </w:rPr>
                <w:t>ed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62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62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62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62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62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62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2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annexes, schedules, and certain exhibits to this Exhibit have been omitted pursuant to Item 601(a)(5) of Regulation S-K. The Registrant hereby agrees to furnish supplementally a copy of any omitted annex, schedule or exhibit to the SEC upon request.</w:t>
            </w:r>
          </w:p>
          <w:p>
            <w:pPr>
              <w:pStyle w:val="TableContents"/>
              <w:bidi w:val="0"/>
              <w:spacing w:before="0" w:after="0"/>
              <w:jc w:val="left"/>
              <w:rPr/>
            </w:pPr>
            <w:r>
              <w:rPr/>
            </w:r>
          </w:p>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portions of this exhibit (indicated by “[***]”) have been omitted pursuant to Regulation S-K, Item 601(b)(10).</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Indicates a management contract or compensatory plan, contract or arrangement.</w:t>
            </w:r>
          </w:p>
        </w:tc>
      </w:tr>
    </w:tbl>
    <w:p>
      <w:pPr>
        <w:pStyle w:val="TextBody"/>
        <w:bidi w:val="0"/>
        <w:spacing w:before="0" w:after="0"/>
        <w:ind w:left="0" w:right="0" w:hanging="450"/>
        <w:jc w:val="left"/>
        <w:rPr/>
      </w:pPr>
      <w:r>
        <w:rPr/>
      </w:r>
    </w:p>
    <w:p>
      <w:pPr>
        <w:pStyle w:val="TextBody"/>
        <w:bidi w:val="0"/>
        <w:spacing w:before="0" w:after="0"/>
        <w:ind w:left="0" w:right="0" w:hanging="450"/>
        <w:jc w:val="left"/>
        <w:rPr/>
      </w:pPr>
      <w:r>
        <w:rPr/>
      </w:r>
    </w:p>
    <w:p>
      <w:pPr>
        <w:pStyle w:val="TextBody"/>
        <w:bidi w:val="0"/>
        <w:spacing w:before="0" w:after="0"/>
        <w:ind w:left="0" w:right="0" w:hanging="450"/>
        <w:jc w:val="left"/>
        <w:rPr/>
      </w:pPr>
      <w:r>
        <w:rPr/>
      </w:r>
    </w:p>
    <w:p>
      <w:pPr>
        <w:pStyle w:val="TextBody"/>
        <w:bidi w:val="0"/>
        <w:spacing w:before="0" w:after="0"/>
        <w:ind w:left="0" w:right="0" w:hanging="450"/>
        <w:jc w:val="left"/>
        <w:rPr/>
      </w:pPr>
      <w:r>
        <w:rPr/>
      </w:r>
    </w:p>
    <w:p>
      <w:pPr>
        <w:pStyle w:val="TextBody"/>
        <w:bidi w:val="0"/>
        <w:spacing w:before="0" w:after="0"/>
        <w:ind w:left="0" w:right="0" w:hanging="450"/>
        <w:jc w:val="left"/>
        <w:rPr/>
      </w:pPr>
      <w:r>
        <w:rPr/>
      </w:r>
    </w:p>
    <w:p>
      <w:pPr>
        <w:pStyle w:val="TextBody"/>
        <w:bidi w:val="0"/>
        <w:spacing w:before="0" w:after="0"/>
        <w:ind w:left="0" w:right="0" w:hanging="450"/>
        <w:jc w:val="left"/>
        <w:rPr/>
      </w:pPr>
      <w:r>
        <w:rPr/>
      </w:r>
    </w:p>
    <w:p>
      <w:pPr>
        <w:pStyle w:val="TextBody"/>
        <w:bidi w:val="0"/>
        <w:spacing w:before="0" w:after="0"/>
        <w:ind w:left="0" w:right="0" w:hanging="450"/>
        <w:jc w:val="left"/>
        <w:rPr/>
      </w:pPr>
      <w:r>
        <w:rPr/>
      </w:r>
    </w:p>
    <w:p>
      <w:pPr>
        <w:pStyle w:val="TextBody"/>
        <w:bidi w:val="0"/>
        <w:spacing w:before="0" w:after="0"/>
        <w:ind w:left="0" w:right="0" w:hanging="450"/>
        <w:jc w:val="left"/>
        <w:rPr/>
      </w:pPr>
      <w:r>
        <w:rPr/>
      </w:r>
    </w:p>
    <w:p>
      <w:pPr>
        <w:pStyle w:val="TextBody"/>
        <w:bidi w:val="0"/>
        <w:spacing w:before="0" w:after="0"/>
        <w:ind w:left="0" w:right="0" w:hanging="450"/>
        <w:jc w:val="left"/>
        <w:rPr/>
      </w:pPr>
      <w:r>
        <w:rPr/>
      </w:r>
    </w:p>
    <w:p>
      <w:pPr>
        <w:pStyle w:val="TextBody"/>
        <w:bidi w:val="0"/>
        <w:spacing w:before="0" w:after="0"/>
        <w:ind w:left="0" w:right="0" w:hanging="450"/>
        <w:jc w:val="left"/>
        <w:rPr/>
      </w:pPr>
      <w:r>
        <w:rPr/>
      </w:r>
    </w:p>
    <w:p>
      <w:pPr>
        <w:pStyle w:val="TextBody"/>
        <w:bidi w:val="0"/>
        <w:spacing w:before="0" w:after="0"/>
        <w:ind w:left="0" w:right="0" w:hanging="450"/>
        <w:jc w:val="left"/>
        <w:rPr/>
      </w:pPr>
      <w:r>
        <w:rPr/>
      </w:r>
    </w:p>
    <w:p>
      <w:pPr>
        <w:pStyle w:val="TextBody"/>
        <w:bidi w:val="0"/>
        <w:spacing w:before="0" w:after="0"/>
        <w:ind w:left="0" w:right="0" w:hanging="450"/>
        <w:jc w:val="left"/>
        <w:rPr/>
      </w:pPr>
      <w:r>
        <w:rPr/>
      </w:r>
    </w:p>
    <w:p>
      <w:pPr>
        <w:pStyle w:val="TextBody"/>
        <w:bidi w:val="0"/>
        <w:spacing w:before="0" w:after="0"/>
        <w:ind w:left="0" w:right="0" w:hanging="450"/>
        <w:jc w:val="left"/>
        <w:rPr/>
      </w:pPr>
      <w:r>
        <w:rPr/>
      </w:r>
    </w:p>
    <w:p>
      <w:pPr>
        <w:pStyle w:val="TextBody"/>
        <w:bidi w:val="0"/>
        <w:spacing w:before="0" w:after="0"/>
        <w:ind w:left="0" w:right="0" w:hanging="450"/>
        <w:jc w:val="left"/>
        <w:rPr/>
      </w:pPr>
      <w:r>
        <w:rPr/>
      </w:r>
    </w:p>
    <w:p>
      <w:pPr>
        <w:pStyle w:val="TextBody"/>
        <w:bidi w:val="0"/>
        <w:spacing w:before="0" w:after="0"/>
        <w:ind w:left="0" w:right="0" w:hanging="450"/>
        <w:jc w:val="left"/>
        <w:rPr/>
      </w:pPr>
      <w:r>
        <w:rPr/>
      </w:r>
    </w:p>
    <w:p>
      <w:pPr>
        <w:pStyle w:val="TextBody"/>
        <w:bidi w:val="0"/>
        <w:spacing w:before="0" w:after="0"/>
        <w:ind w:left="0" w:right="0" w:hanging="450"/>
        <w:jc w:val="left"/>
        <w:rPr/>
      </w:pPr>
      <w:r>
        <w:rPr/>
      </w:r>
    </w:p>
    <w:p>
      <w:pPr>
        <w:pStyle w:val="TextBody"/>
        <w:bidi w:val="0"/>
        <w:spacing w:before="0" w:after="0"/>
        <w:ind w:left="0" w:right="0" w:hanging="450"/>
        <w:jc w:val="left"/>
        <w:rPr/>
      </w:pPr>
      <w:r>
        <w:rPr/>
      </w:r>
    </w:p>
    <w:p>
      <w:pPr>
        <w:pStyle w:val="TextBody"/>
        <w:bidi w:val="0"/>
        <w:spacing w:before="0" w:after="0"/>
        <w:ind w:left="0" w:right="0" w:hanging="450"/>
        <w:jc w:val="left"/>
        <w:rPr/>
      </w:pPr>
      <w:r>
        <w:rPr/>
      </w:r>
    </w:p>
    <w:p>
      <w:pPr>
        <w:pStyle w:val="TextBody"/>
        <w:bidi w:val="0"/>
        <w:spacing w:before="0" w:after="0"/>
        <w:ind w:left="0" w:right="0" w:hanging="450"/>
        <w:jc w:val="left"/>
        <w:rPr/>
      </w:pPr>
      <w:r>
        <w:rPr/>
      </w:r>
    </w:p>
    <w:p>
      <w:pPr>
        <w:pStyle w:val="TextBody"/>
        <w:bidi w:val="0"/>
        <w:spacing w:before="0" w:after="0"/>
        <w:ind w:left="0" w:right="0" w:hanging="450"/>
        <w:jc w:val="left"/>
        <w:rPr/>
      </w:pPr>
      <w:r>
        <w:rPr/>
      </w:r>
    </w:p>
    <w:p>
      <w:pPr>
        <w:pStyle w:val="TextBody"/>
        <w:bidi w:val="0"/>
        <w:spacing w:before="0" w:after="0"/>
        <w:ind w:left="0" w:right="0" w:hanging="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40" w:before="100" w:after="283"/>
        <w:jc w:val="left"/>
        <w:rPr/>
      </w:pPr>
      <w:r>
        <w:fldChar w:fldCharType="begin"/>
      </w:r>
      <w:r>
        <w:rPr>
          <w:rStyle w:val="InternetLink"/>
          <w:sz w:val="20"/>
          <w:u w:val="single"/>
          <w:b/>
          <w:rFonts w:ascii="Times New Roman;sans-serif" w:hAnsi="Times New Roman;sans-serif"/>
          <w:color w:val="0000FF"/>
        </w:rPr>
        <w:instrText xml:space="preserve"> HYPERLINK "https://www.sec.gov/Archives/edgar/data/1816581/000119312521080046/d122652dex991.htm" \l "toc"</w:instrText>
      </w:r>
      <w:r>
        <w:rPr>
          <w:rStyle w:val="InternetLink"/>
          <w:sz w:val="20"/>
          <w:u w:val="single"/>
          <w:b/>
          <w:rFonts w:ascii="Times New Roman;sans-serif" w:hAnsi="Times New Roman;sans-serif"/>
          <w:color w:val="0000FF"/>
        </w:rPr>
        <w:fldChar w:fldCharType="separate"/>
      </w:r>
      <w:r>
        <w:rPr>
          <w:rStyle w:val="InternetLink"/>
          <w:rFonts w:ascii="Times New Roman;sans-serif" w:hAnsi="Times New Roman;sans-serif"/>
          <w:b/>
          <w:color w:val="0000FF"/>
          <w:sz w:val="20"/>
          <w:u w:val="single"/>
        </w:rPr>
        <w:t>Table of Contents</w:t>
      </w:r>
      <w:r>
        <w:rPr>
          <w:rStyle w:val="InternetLink"/>
          <w:sz w:val="20"/>
          <w:u w:val="single"/>
          <w:b/>
          <w:rFonts w:ascii="Times New Roman;sans-serif" w:hAnsi="Times New Roman;sans-serif"/>
          <w:color w:val="0000FF"/>
        </w:rPr>
        <w:fldChar w:fldCharType="end"/>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9418" w:type="dxa"/>
        <w:jc w:val="left"/>
        <w:tblInd w:w="0" w:type="dxa"/>
        <w:tblLayout w:type="fixed"/>
        <w:tblCellMar>
          <w:top w:w="28" w:type="dxa"/>
          <w:left w:w="28" w:type="dxa"/>
          <w:bottom w:w="28" w:type="dxa"/>
          <w:right w:w="28" w:type="dxa"/>
        </w:tblCellMar>
      </w:tblPr>
      <w:tblGrid>
        <w:gridCol w:w="683"/>
        <w:gridCol w:w="601"/>
        <w:gridCol w:w="605"/>
        <w:gridCol w:w="222"/>
        <w:gridCol w:w="203"/>
        <w:gridCol w:w="205"/>
        <w:gridCol w:w="2004"/>
        <w:gridCol w:w="2004"/>
        <w:gridCol w:w="289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Ouster, Inc.</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28, 2024</w:t>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Weinswig</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Weinswig</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8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 and principal accounting officer)</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in the capacities and on the dates indicated.</w:t>
      </w:r>
    </w:p>
    <w:tbl>
      <w:tblPr>
        <w:tblW w:w="10205" w:type="dxa"/>
        <w:jc w:val="left"/>
        <w:tblInd w:w="0" w:type="dxa"/>
        <w:tblLayout w:type="fixed"/>
        <w:tblCellMar>
          <w:top w:w="28" w:type="dxa"/>
          <w:left w:w="28" w:type="dxa"/>
          <w:bottom w:w="28" w:type="dxa"/>
          <w:right w:w="28" w:type="dxa"/>
        </w:tblCellMar>
      </w:tblPr>
      <w:tblGrid>
        <w:gridCol w:w="893"/>
        <w:gridCol w:w="763"/>
        <w:gridCol w:w="766"/>
        <w:gridCol w:w="2130"/>
        <w:gridCol w:w="2116"/>
        <w:gridCol w:w="2143"/>
        <w:gridCol w:w="406"/>
        <w:gridCol w:w="406"/>
        <w:gridCol w:w="582"/>
      </w:tblGrid>
      <w:tr>
        <w:trPr/>
        <w:tc>
          <w:tcPr>
            <w:tcW w:w="89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Times New Roman;sans-serif" w:hAnsi="Times New Roman;sans-serif"/>
                <w:b/>
                <w:color w:val="000000"/>
                <w:sz w:val="16"/>
              </w:rPr>
            </w:pPr>
            <w:r>
              <w:rPr>
                <w:rFonts w:ascii="Times New Roman;sans-serif" w:hAnsi="Times New Roman;sans-serif"/>
                <w:b/>
                <w:color w:val="000000"/>
                <w:sz w:val="16"/>
              </w:rPr>
              <w:t>Signature</w:t>
            </w:r>
          </w:p>
        </w:tc>
        <w:tc>
          <w:tcPr>
            <w:tcW w:w="638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Times New Roman;sans-serif" w:hAnsi="Times New Roman;sans-serif"/>
                <w:b/>
                <w:color w:val="000000"/>
                <w:sz w:val="16"/>
              </w:rPr>
            </w:pPr>
            <w:r>
              <w:rPr>
                <w:rFonts w:ascii="Times New Roman;sans-serif" w:hAnsi="Times New Roman;sans-serif"/>
                <w:b/>
                <w:color w:val="000000"/>
                <w:sz w:val="16"/>
              </w:rPr>
              <w:t>Title</w:t>
            </w:r>
          </w:p>
        </w:tc>
        <w:tc>
          <w:tcPr>
            <w:tcW w:w="1394"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42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 Angus Pacala</w:t>
            </w:r>
          </w:p>
        </w:tc>
        <w:tc>
          <w:tcPr>
            <w:tcW w:w="638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 Co-Founder and Chief Executive Officer (Principal Executive Officer)</w:t>
            </w:r>
          </w:p>
        </w:tc>
        <w:tc>
          <w:tcPr>
            <w:tcW w:w="1394"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2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Angus Pacala</w:t>
            </w:r>
          </w:p>
        </w:tc>
        <w:tc>
          <w:tcPr>
            <w:tcW w:w="6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 Mark Weinswig</w:t>
            </w:r>
          </w:p>
        </w:tc>
        <w:tc>
          <w:tcPr>
            <w:tcW w:w="638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 and Principal Accounting Officer)</w:t>
            </w:r>
          </w:p>
        </w:tc>
        <w:tc>
          <w:tcPr>
            <w:tcW w:w="1394"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2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Mark Weinswig</w:t>
            </w:r>
          </w:p>
        </w:tc>
        <w:tc>
          <w:tcPr>
            <w:tcW w:w="6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8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Chairman of the Board of Directors</w:t>
            </w:r>
          </w:p>
        </w:tc>
        <w:tc>
          <w:tcPr>
            <w:tcW w:w="1394"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2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Theodore L. Tewksbury, Ph.D.</w:t>
            </w:r>
          </w:p>
        </w:tc>
        <w:tc>
          <w:tcPr>
            <w:tcW w:w="6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8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2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Virginia Boulet</w:t>
            </w:r>
          </w:p>
        </w:tc>
        <w:tc>
          <w:tcPr>
            <w:tcW w:w="6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8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2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Susan Heystee</w:t>
            </w:r>
          </w:p>
        </w:tc>
        <w:tc>
          <w:tcPr>
            <w:tcW w:w="6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8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Director</w:t>
            </w:r>
          </w:p>
        </w:tc>
        <w:tc>
          <w:tcPr>
            <w:tcW w:w="1394"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2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Ernest Maddock</w:t>
            </w:r>
          </w:p>
        </w:tc>
        <w:tc>
          <w:tcPr>
            <w:tcW w:w="6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8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Director</w:t>
            </w:r>
          </w:p>
        </w:tc>
        <w:tc>
          <w:tcPr>
            <w:tcW w:w="1394"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2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Karin Rådström</w:t>
            </w:r>
          </w:p>
        </w:tc>
        <w:tc>
          <w:tcPr>
            <w:tcW w:w="6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8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Director</w:t>
            </w:r>
          </w:p>
        </w:tc>
        <w:tc>
          <w:tcPr>
            <w:tcW w:w="1394"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2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Kristin Slanina</w:t>
            </w:r>
          </w:p>
        </w:tc>
        <w:tc>
          <w:tcPr>
            <w:tcW w:w="6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8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Director</w:t>
            </w:r>
          </w:p>
        </w:tc>
        <w:tc>
          <w:tcPr>
            <w:tcW w:w="1394"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2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Riaz Valani</w:t>
            </w:r>
          </w:p>
        </w:tc>
        <w:tc>
          <w:tcPr>
            <w:tcW w:w="6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505" w:type="dxa"/>
        <w:jc w:val="left"/>
        <w:tblInd w:w="0" w:type="dxa"/>
        <w:tblLayout w:type="fixed"/>
        <w:tblCellMar>
          <w:top w:w="28" w:type="dxa"/>
          <w:left w:w="28" w:type="dxa"/>
          <w:bottom w:w="28" w:type="dxa"/>
          <w:right w:w="28" w:type="dxa"/>
        </w:tblCellMar>
      </w:tblPr>
      <w:tblGrid>
        <w:gridCol w:w="626"/>
        <w:gridCol w:w="551"/>
        <w:gridCol w:w="562"/>
        <w:gridCol w:w="109"/>
        <w:gridCol w:w="109"/>
        <w:gridCol w:w="109"/>
        <w:gridCol w:w="420"/>
        <w:gridCol w:w="420"/>
        <w:gridCol w:w="599"/>
      </w:tblGrid>
      <w:tr>
        <w:trPr/>
        <w:tc>
          <w:tcPr>
            <w:tcW w:w="62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*By:</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/s/ Mark Weinswig, </w:t>
            </w:r>
          </w:p>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As Attorney in Fact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Mark Weinswig, </w:t>
            </w:r>
          </w:p>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As Attorney in Fact</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4.3</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DESCRIPTION OF SECURITIES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description of the terms of our capital stock and warrants is not complete and is qualified in its entirety by reference to our Certificate of Incorporation, as amended (the “Certificate of Incorporation”), our Amended and Restated Bylaws (the “Bylaws”) and the warrant agreement, all of which are attached as exhibits to our Annual Report on Form 10-K. References to “our”, “we”, “us”, the “Company”, and “Ouster” refer to Ouster, Inc.</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Capital Stock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Authorized Capitalization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General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amount of our authorized capital stock consists of 100,000,000 shares of common stock, par value $0.0001 per share, and 100,000,000 shares of preferred stock, par value $0.0001 per share.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Preferred Stock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(the “Board”) has authority to issue shares of preferred stock in one or more series, to fix for each such series such voting powers, designations, preferences, qualifications, limitations or restrictions thereof, including dividend rights, conversion rights, redemption privileges and liquidation preferences for the issue of such series all to the fullest extent permitted by the Delaware General Corporation Law (“DGCL”). The issuance of preferred stock could have the effect of decreasing the trading price of our common stock, restricting dividends on our capital stock, diluting the voting power of our common stock, impairing the liquidation rights of our capital stock, or delaying or preventing a change in control of our Company.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Common Stock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does not entitle its holders to preemptive or other similar subscription rights to purchase any of our securities. Our common stock is neither convertible nor redeemable. Unless our Board determines otherwise, we will issue all of our capital stock in uncertificated form.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Voting Rights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holder of our common stock is entitled to one vote per share on each matter submitted to a vote of stockholders, as provided by the Certificate of Incorporation. The Bylaws provide that the holders of a majority of the capital stock issued and outstanding and entitled to vote thereat, present in person, or by remote communication, if applicable, or represented by proxy, will constitute a quorum at all meetings of the stockholders for the transaction of business. When a quorum is present, the affirmative vote of a majority of the votes cast is required to take action, unless otherwise specified by law, the Bylaws or the Certificate of Incorporation, and except for the election of directors, which is determined by a plurality vote. There are no cumulative voting rights.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Dividend Rights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holder of shares of our capital stock is entitled to the payment of dividends and other distributions as may be declared by Board from time to time out of our assets or funds legally available for dividends or other distributions. These rights are subject to the preferential rights of the holders of our preferred stock, if any, and any contractual limitations on our ability to declare and pay dividends.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Rights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rights of each holder of our common stock are subject to, and may be adversely affected by, the rights of the holders of any series of our preferred stock that we may designate and issue in the future. </w:t>
      </w:r>
    </w:p>
    <w:p>
      <w:pPr>
        <w:pStyle w:val="TextBody"/>
        <w:bidi w:val="0"/>
        <w:spacing w:before="120" w:after="283"/>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292100"/>
                <wp:effectExtent l="0" t="0" r="0" b="0"/>
                <wp:wrapNone/>
                <wp:docPr id="126" name="Frame11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|US-DOCS\149052485.4||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|US-DOCS\149052485.4||</w:t>
                      </w:r>
                    </w:p>
                  </w:txbxContent>
                </v:textbox>
                <w10:wrap type="none"/>
              </v:rect>
            </w:pict>
          </mc:Fallback>
        </mc:AlternateConten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Liquidation Rights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involved in voluntary or involuntary liquidation, dissolution or winding up of our affairs, or a similar event, each holder of our common stock will participate pro rata in all assets remaining after payment of liabilities, subject to prior distribution rights of our preferred stock, if any, then outstanding.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Anti-takeover Effects of the Certificate of Incorporation and the Bylaws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Certificate of Incorporation and the Bylaws contain provisions that may delay, defer or discourage another party from acquiring control of our Company. We expect that these provisions, which are summarized below, will discourage coercive takeover practices or inadequate takeover bids. These provisions are also designed to encourage persons seeking to acquire control of our Company to first negotiate with the Board, which we believe may result in an improvement of the terms of any such acquisition in favor of our stockholders. However, they also give the Board the power to discourage mergers that some stockholders may favor.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Special Meetings of Stockholders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Certificate of Incorporation provides that a special meeting of stockholders may be called by (a) the Chairperson of the Board, (b) the Board, (c) our Chief Executive Officer or (d) our President, provided that such special meeting may be postponed, rescheduled or cancelled by the Board or other person calling the special meeting.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Action by Written Consent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Certificate of Incorporation provides that any action required or permitted to be taken by our stockholders must be effected at an annual or special meeting of the stockholders, and may not be taken by written consent in lieu of a meeting.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Classified Board of Directors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provides that our Board is divided into three classes, with the classes as nearly equal in number as possible and each class serving three-year staggered terms. The Board or any individual director may be removed from office at any time, but only for cause and only by the affirmative vote of the holders of at least a majority of the voting power of all of the then outstanding shares of our voting stock entitled to vote at an election of directors.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Election of Directors and Vacancies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rights of the holders of any series of preferred stock to elect additional directors under specified circumstances, the number of directors of our Board is fixed exclusively by the Board. Our Board is divided into three classes, designated Class I, II and III, with each class to be elected by our stockholders every three years.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Amendment of the Certificate of Incorporation and Bylaws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is expressly authorized to adopt, amend or repeal the Bylaws, subject to the power of our stockholders entitled to vote with respect thereto to adopt, amend or repeal the Bylaws. Our stockholders have the power to adopt, amend or repeal the Bylaws; provided, that in addition to any vote of the holders of any class or series of our stock required by applicable law or by our Certificate of Incorporation or Bylaws, the adoption, amendment or repeal of our Bylaws by our stockholders shall require the affirmative vote of the holders of at least two-thirds of the voting power of all of the then outstanding shares of our voting stock entitled to vote generally in an election of directors.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vote of at least 66 2/3% of the total voting power of our outstanding shares entitled to vote thereon, voting together as a single class, is required to amend certain provisions of our Certificate of Incorporation, including those relating to the terms of our authorized preferred stock (Article V(B)), the authority and composition of our Board (Article VII), special meetings of our stockholders and the ability of our stockholders to act by written consent (Article VIII), limitation of liability of our directors (Article IX), restrictions similar to Section 203 of the DGCL (Article X), our obligation to indemnify our directors and officers to the fullest extent permitted by law (Article XI), exclusive jurisdiction of certain legal proceedings involving our stockholders (Article XII) and the requirements for amendments to our Certificate of Incorporation (Article XIII). </w:t>
      </w: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292100"/>
                <wp:effectExtent l="0" t="0" r="0" b="0"/>
                <wp:wrapNone/>
                <wp:docPr id="127" name="Frame11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|US-DOCS\149052485.4||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|US-DOCS\149052485.4||</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Delaware Anti-Takeover Statute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203 of the DGCL provides that if a person acquires 15% or more of the voting stock of a Delaware corporation, such person becomes an “interested stockholder” and may not engage in certain “business combinations” with such corporation for a period of three years from the time such person acquired 15% or more of such corporation’s voting stock, unless: (a) the board of directors of such corporation approves the acquisition of stock or the merger transaction before the time that the person becomes an interested stockholder, (b) the interested stockholder owns at least 85% of the outstanding voting stock of such corporation at the time the merger transaction commences (excluding voting stock owned by directors who are also officers and certain employee stock plans), or (c) the merger transaction is approved by the board of directors and at a meeting of stockholders, not by written consent, by the affirmative vote of at least two-thirds of the outstanding voting stock which is not owned by the interested stockholder. A Delaware corporation may elect in its certificate of incorporation or bylaws not to be governed by this particular Delaware law. Under the Certificate of Incorporation, we have opted out of Section 203 of the DGCL, but the Certificate of Incorporation provides other similar restrictions regarding takeovers by interested stockholders.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Limitations on Liability and Indemnification of Officers and Directors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Certificate of Incorporation provides that we are to indemnify our directors to the fullest extent authorized or permitted by applicable law. We have entered and expect to continue to enter into agreements to indemnify our directors, executive officers and other employees as determined by the Board. Under the Bylaws, we are required to indemnify each of our directors and officers if the basis of the indemnitee’s involvement was by reason of the fact that the indemnitee is or was our director or officer or was serving at our request as a director, officer, employee or agent for another entity. We must indemnify our officers and directors against all expenses (including attorneys’ fees), judgments, fines and amounts paid in settlement actually and reasonably incurred by the indemnitee in connection with such action, suit or proceeding if the indemnitee acted in good faith and in a manner the indemnitee reasonably believed to be in or not opposed to our best interests, and, with respect to any criminal action or proceeding, had no reasonable cause to believe the indemnitee’s conduct was unlawful. The Bylaws also require us to advance expenses (including attorneys’ fees) incurred by a director or officer in defending any civil, criminal, administrative or investigative action, suit or proceeding, provided that such person will repay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Exclusive Jurisdiction of Certain Actions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provides that, to the fullest extent permitted by law, and unless we consent in writing to the selection of an alternative forum, the Court of Chancery of the State of Delaware (or, in the event that the Chancery Court does not have jurisdiction, the federal district court for the District of Delaware or other state courts of the State of Delaware) will be the sole and exclusive forum for (i) any derivative action, suit or proceeding brought on our behalf, (ii) any action, suit or proceeding asserting a claim of breach of a fiduciary duty owed by any of our directors, officers or stockholders to us or our stockholders, (iii) any action, suit or proceeding arising pursuant to any provision of the DGCL or the Bylaws or the Certificate of Incorporation (as each may be amended from time to time), (iv) any action, suit or proceeding as to which the DGCL confers jurisdiction on the Court of Chancery of the State of Delaware, or (v) any action, suit or proceeding asserting a claim against us or any current or former director, officer or stockholder governed by the internal affairs doctrine, and, if brought outside of Delaware, the stockholder bringing the suit will be deemed to have consented to (a) the personal jurisdiction of the state and federal courts in the State of Delaware in connection with any action brought in any such court to enforce the exclusive jurisdiction provisions of the Certificate of Incorporation and (b) service of process on such stockholder’s counsel.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22 of the Securities Act of 1933, as amended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also provides that, unless we consent in writing to the selection of an alternative forum, to the fullest extent permitted by law, the </w:t>
      </w: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292100"/>
                <wp:effectExtent l="0" t="0" r="0" b="0"/>
                <wp:wrapNone/>
                <wp:docPr id="128" name="Frame12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|US-DOCS\149052485.4||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|US-DOCS\149052485.4||</w:t>
                      </w:r>
                    </w:p>
                  </w:txbxContent>
                </v:textbox>
                <w10:wrap type="none"/>
              </v:rect>
            </w:pict>
          </mc:Fallback>
        </mc:AlternateConten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Certificate of Incorporation provides that the exclusive forum provision will not apply to suits brought to enforce any cause of action arising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Although we believe these provisions would benefit us by providing increased consistency in the application of applicable law in the types of lawsuits to which they apply, these provisions may have the effect of discouraging lawsuits against our directors and officers.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Transfer Agent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transfer agent for our common stock is Continental Stock Transfer &amp; Trust Company.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Warrants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Ouster’s 2026 Public Warrants (NYSE: OUST WS)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2026 public warrants refers to the Company’s warrants that were offered and sold in the Company’s initial public offering pursuant to a registration statement. Each ten (10) 2026 public warrants entitles the registered holder to purchase one share of our common stock at a price of $115.00 per share, subject to adjustment as discussed below, provided that there is an effective registration statement under the Securities Act covering the shares of our common stock issuable upon exercise of the warrants and a current prospectus relating to them available (or we permit holders to exercise their warrants on a cashless basis under the circumstances specified in the applicable warrant agreement) and such shares are registered, qualified or exempt from registration under the securities, or blue sky, laws of the state of residence of the holder. Pursuant to the warrant agreement governing the 2026 public warrants, a warrant holder may exercise its warrants only for a whole number of shares of our common stock. This means only a whole 2026 public warrant may be exercised at a given time by a warrant holder. The 2026 public warrants will expire on March 11, 2026 at 5:00 p.m., New York City time, or earlier upon redemption or liquidation.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not obligated to deliver any shares of common stock pursuant to the exercise of a 2026 public warrant and have no obligation to settle such warrant exercise unless a registration statement under the Securities Act with respect to the shares of our common stock underlying the warrants is then effective and a prospectus relating thereto is current, subject to us satisfying our obligations described below with respect to registration. No 2026 public warrant will be exercisable and we will not be obligated to issue a share of common stock upon exercise of a warrant unless the shares of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2026 public warrant, the holder of such warrant will not be entitled to exercise such warrant and such warrant may have no value and expire worthless. In no event will we be required to net cash settle any 2026 public warrant.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agreed to maintain the effectiveness of a registration statement covering the issuance, under the Securities Act, of the shares of common stock issuable upon exercise of the 2026 public warrants, and a current prospectus relating thereto, until the expiration of the warrants in accordance with the provisions of the applicable warrant agreement. Notwithstanding the above, if the shares of common stock are at the time of any exercise of a warrant not listed on a national securities exchange such that they satisfy the definition of a “covered security” under Section 18(b)(1) of the Securities Act, we may, at our option, require holders of 2026 public warrants who exercise their warrants to do so on a “cashless basis” in accordance with Section 3(a)(9) of the Securities Act and, in the event we so elect, we will not be required to maintain in effect a registration statement, and in the event we do not so elect, we will be obligated to use our best efforts to register or qualify the shares under applicable blue sky laws to the extent an exemption is not available. </w:t>
      </w: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292100"/>
                <wp:effectExtent l="0" t="0" r="0" b="0"/>
                <wp:wrapNone/>
                <wp:docPr id="129" name="Frame12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|US-DOCS\149052485.4||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|US-DOCS\149052485.4||</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call the warrants for redemption: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 whole and not in part;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at a price of $0.10 per warrant;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upon not less than 30 days’ prior written notice of redemption (the “30-day redemption period”) to each warrant holder;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if, and only if, the reported closing price of our common stock equals or exceeds $180.00 per share (as adjusted for stock splits, stock dividends, reorganizations, recapitalizations and the like) for any 20 trading days within a 30 trading-day period ending three business days before we send the notice of redemption to the warrant holders.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and when the 2026 public warrants become redeemable by us, we may exercise our redemption right even if we are unable to register or qualify the underlying securities for sale under all applicable state securities laws.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foregoing conditions are satisfied and we issue a notice of redemption of the 2026 public warrants, each warrant holder will be entitled to exercise his, her or its warrant prior to the scheduled redemption date. However, the price of our common stock may fall below the $180.00 redemption trigger price (as adjusted for stock splits, stock dividends, reorganizations, recapitalizations and the like) as well as the $115.00 warrant exercise price after the redemption notice is issued.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call the 2026 public warrants for redemption as described above, our Board will have the option to require any holder that wishes to exercise his, her or its warrant to do so on a “cashless basis.” In determining whether to require all holders to exercise their 2026 public warrants on a “cashless basis,” our management may consider, among other factors, our cash position, the number of warrants that are outstanding and the dilutive effect on our stockholders of issuing the maximum number of shares of common stock issuable upon the exercise of the warrants. If we takes advantage of this option, all holders of 2026 public warrants would pay the exercise price by surrendering their warrants for that number of shares of common stock equal to the quotient obtained by dividing (a) the product of the number of shares of common stock underlying the warrants, multiplied by the excess of the “fair market value” (defined below) over the exercise price of the warrants by (b) the fair market value. The “fair market value” will mean the average reported closing price of the shares of common stock for the 10 trading days ending on the third trading day prior to the date on which the notice of redemption is sent to the holders of warrants. If we take advantage of this option, the notice of redemption will contain the information necessary to calculate the number of shares of common stock to be received upon exercise of the 2026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2026 public warrants. If we call the 2026 public warrants for redemption and do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 A holder of a 2026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specified by the holder) of the shares of our common stock outstanding immediately after giving effect to such exercise.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number of outstanding shares of our common stock is increased by a stock dividend payable in shares of our common stock, or by a split-up or other similar event, then, on the effective date of stock dividend, split-up or similar event, the number of shares of common stock issuable on exercise of each 2026 public warrant will be increased in proportion to such increase in the outstanding shares of our common stock. A rights offering to holders of our common stock entitling holders to purchase shares of our common stock at a price less than the fair market value will be deemed a stock dividend of a number of shares of our common stock equal to the product of (a) the number of shares of common stock actually sold in such rights offering (or issuable under any other equity securities </w:t>
      </w:r>
    </w:p>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292100"/>
                <wp:effectExtent l="0" t="0" r="0" b="0"/>
                <wp:wrapNone/>
                <wp:docPr id="130" name="Frame12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|US-DOCS\149052485.4||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|US-DOCS\149052485.4||</w:t>
                      </w:r>
                    </w:p>
                  </w:txbxContent>
                </v:textbox>
                <w10:wrap type="none"/>
              </v:rect>
            </w:pict>
          </mc:Fallback>
        </mc:AlternateConten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sold in such rights offering that are convertible into or exercisable for shares of our common stock) and (b) the quotient of (i) the price per share of our common stock paid in such rights offering and (ii) the fair market value. For these purposes (a) if the rights offering is for securities convertible into or exercisable for shares of our common stock, in determining the price payable for shares of our common stock, there will be taken into account any consideration received for such rights, as well as any additional amount payable upon exercise or conversion and (b) fair market value means the volume weighted average price of shares of our common stock as reported during the 10 trading day period ending on the trading day prior to the first date on which the shares of our common stock trade on the applicable exchange or in the applicable market, regular way, without the right to receive such rights.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if we, at any time while the 2026 public warrants are outstanding and unexpired, pay a dividend or make a distribution in cash, securities or other assets to the holders of shares of our common stock on account of such shares of common stock (or other securities into which the warrants are convertible), other than as described above or certain ordinary cash dividends, then the warrant exercise price will be decreased, effective immediately after the effective date of such event, by the amount of cash and/or the fair market value of any securities or other assets paid on each share of our common stock in respect of such event.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number of outstanding shares of our common stock is decreased by a consolidation, combination, reverse stock split or reclassification of shares of our common stock or other similar event, then, on the effective date of such consolidation, combination, reverse stock split, reclassification or similar event, the number of shares of common stock issuable on exercise of each 2026 public warrant will be decreased in proportion to such decrease in outstanding shares of our common stock.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Whenever the number of shares of our common stock purchasable upon the exercise of the 2026 public warrants is adjusted, as described above, the warrant exercise price will be adjusted by multiplying the warrant exercise price immediately prior to such adjustment by a fraction (a) the numerator of which will be the number of shares of common stock purchasable upon the exercise of the warrants immediately prior to such adjustment, and (b) the denominator of which will be the number of shares of common stock so purchasable immediately thereafter.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case of any reclassification or reorganization of the outstanding shares of our common stock (other than those described above or that solely affects the par value of such shares of our common stock), or in the case of any merger or consolidation of our Company with or into another corporation (other than a consolidation or merger in which we are the continuing corporation and that does not result in any reclassification or reorganization of the issued and outstanding shares of our common stock), or in the case of any sale or conveyance to another corporation or entity of the assets or other property of our as an entirety or substantially as an entirety in connection with which we are dissolved, the holders of the 2026 public warrants will thereafter have the right to purchase and receive, upon the basis and upon the terms and conditions specified in the warrants and in lieu of the shares of our common stock immediately theretofore purchasable and receivable upon the exercise of the rights represented thereby, the kind and amount of shares of our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shares of our common stock in such a transaction is payable in the form of shares of common stock in the successor entity that is listed for trading on a national securities exchange or is quoted in an established over-the-counter market, or is to be so listed for trading or quoted immediately following such event, and if the registered holder of the 2026 public warrant properly exercises the warrant within 30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2026 public warrants when an extraordinary transaction occurs during the exercise period of the warrants pursuant to which the holders of the 2026 public warrants otherwise do not receive the full potential value of the warrants.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2026 public warrants are issued in registered form under a warrant agreement between Continental Stock Transfer &amp; Trust Company, as warrant agent, and us. The warrant agreement provides that the terms of the 2026 public warrants may be amended without the consent of any holder for the purpose of (a) curing any ambiguity or to correct any defective provision, (b) adjusting the provisions relating to cash dividends on shares of our common stock as contemplated by and in accordance with the warrant agreement or (c) adding or changing any other </w:t>
      </w: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292100"/>
                <wp:effectExtent l="0" t="0" r="0" b="0"/>
                <wp:wrapNone/>
                <wp:docPr id="131" name="Frame12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|US-DOCS\149052485.4||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|US-DOCS\149052485.4||</w:t>
                      </w:r>
                    </w:p>
                  </w:txbxContent>
                </v:textbox>
                <w10:wrap type="none"/>
              </v:rect>
            </w:pict>
          </mc:Fallback>
        </mc:AlternateConten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provisions with respect to matters or questions arising under the warrant agreement as the parties to the warrant agreement may deem necessary or desirable and that the parties deem to not adversely affect the interests of the registered holders of the 2026 public warrants. All other modifications or amendments will require the approval by the holders of at least 50% of the then-outstanding 2026 public warrants and, solely with respect to any amendment to the terms of the private placement warrants, 50% of the then outstanding private placement warrants. You should review a copy of the warrant agreement, which is filed as an exhibit to our Annual Report on Form 10-K, for a complete description of the terms and conditions applicable to the warrants.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2026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holders of our 2026 public warrants do not have the rights or privileges of holders of shares of our common stock and any voting rights until they exercise their warrants and receive shares of our common stock. After the issuance of shares of our common stock upon exercise of the 2026 public warrants, each holder will be entitled to one vote for each share held of record on all matters to be voted on by stockholders.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warrant agreement, a warrant holder may exercise its warrants only for a whole number of shares of our common stock. This means that no fractional shares will be issued upon exercise of the 2026 public warrants. If, upon exercise of the 2026 public warrants, a holder would be entitled to receive a fractional interest in a share, we will, upon exercise, round down to the nearest whole number of shares of our common stock to be issued to the warrant holder.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Ouster’s Private Placement Warrants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Private placement warrants refers to the warrants issued in a private placement to Colonnade Sponsor LLC (the “Sponsor”). The private placement warrants (including the shares of our common stock issuable upon exercise of such warrants) will not be redeemable by us so long as they are held by the Sponsor, members of the Sponsor or their permitted transferees. The Sponsor or its permitted transferees have the option to exercise the private placement warrants on a cashless basis. Except as described below, the private placement warrants have terms and provisions that are identical to those of the 2026 public warrants, including as to exercise price, exercisability and exercise period. If the private placement warrants are held by holders other than the Sponsor or its permitted transferees, the private placement warrants will be redeemable by us and exercisable by the holders on the same basis as the 2026 public warrants.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holders of the private placement warrants elect to exercise them on a cashless basis, they would pay the exercise price by surrendering his, her or its warrants for that number of shares of our common stock equal to the quotient obtained by dividing (a) the product of the number of shares of our common stock underlying the warrants, multiplied by the excess of the “fair market value” (defined below) over the exercise price of the warrants by (b) the fair market value. The “fair market value” will mean the average reported closing price of the shares of our common stock for the 10 trading days ending on the third trading day prior to the date on which the notice of warrant exercise is sent to the warrant agent.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Ouster’s 2025 Public Warrants (NYSE American: OUST WSA)</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2025 public warrants refers to the public warrants of Velodyne Lidar, Inc. (“Velodyne”) that became public warrants exercisable for Ouster, Inc. common stock in connection with the completed merger of equals with Ouster, Inc. and Velodyne Lidar, Inc. (the “Velodyne Merger”). Each 2025 public warrant entitles the holder to purchase 0.06153 shares of the Company’s common stock. Each ten (10) 2025 public warrants entitles the registered holder to purchase 0.6153 shares of our common stock at a price of $140.20 per 0.6153 share of common stock, with no fractional shares being issuable upon exercise of a warrant, subject to adjustment as discussed below. Pursuant to the warrant agreement, a warrant holder may exercise its warrants only for a whole number of shares of our common stock. This means that no fractional shares will be issued upon exercise of the 2025 public warrants. If, upon exercise of the 2025 public warrants, a holder would be entitled to receive a fractional interest in a share, Ouster will, upon exercise, round down to the nearest whole number of shares of common stock to be issued to the warrant holder. The 2025 public warrants will expire on September 29, 2025 at 5:00 p.m., New York City time, or earlier upon redemption or liquidation. </w:t>
      </w:r>
    </w:p>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292100"/>
                <wp:effectExtent l="0" t="0" r="0" b="0"/>
                <wp:wrapNone/>
                <wp:docPr id="132" name="Frame12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|US-DOCS\149052485.4||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|US-DOCS\149052485.4||</w:t>
                      </w:r>
                    </w:p>
                  </w:txbxContent>
                </v:textbox>
                <w10:wrap type="none"/>
              </v:rect>
            </w:pict>
          </mc:Fallback>
        </mc:AlternateConten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not obligated to deliver any shares of common stock pursuant to the exercise of a 2025 public warrant and have no obligation to settle such 2025 public warrant exercise unless a registration statement under the Securities Act with respect to the shares of our common stock underlying the 2025 public warrants is then effective and a prospectus relating thereto is current, subject to us satisfying our obligations described below with respect to registration. No 2025 public warrant will be exercisable and we will not be obligated to issue shares of common stock upon exercise of a warrant unless the shares of common stock issuable upon such warrant exercise have been registered, qualified or deemed to be exempt from registration or qualification under the securities laws of the state of residence of the registered holder of the warrants. In the event that the conditions in the two immediately preceding sentences are not satisfied with respect to a 2025 public warrant, the holder of such warrant will not be entitled to exercise such warrant and such warrant may have no value and expire worthless. In no event will we be required to net cash settle any warrant.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any period when we have failed to maintain an effective registration statement covering the shares of common stock issuable upon exercise of the 2025 public warrants, warrant holders have the right to exercise public warrants on a “cashless basis” in accordance with Section 3(a)(9) of the Securities Act or another exemption. Notwithstanding the above, if common stock is at the time of any exercise of a 2025 public warrant not listed on a national securities exchange such that it satisfies the definition of a “covered security” under Section 18(b)(1) of the Securities Act, we may, at our option, require holders of warrants who exercise their warrants to do so on a “cashless basis” in accordance with Section 3(a)(9) of the Securities Act and, in the event we so elect, we will not be required to file or maintain in effect a registration statement for the registration under the Securities Act of the common stock issuable upon exercise of the warrants, and in the event we do not so elect, we will use our best efforts to register or qualify for sale the common stock issuable upon exercise of the warrants under applicable blue sky laws to the extent an exemption is not available.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call the 2025 public warrants for redemption: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 whole and not in part;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at a price of $0.10 per warrant;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upon not less than 30 days’ prior written notice of redemption (the “30-day redemption period”) to each warrant holder;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if (i) there is an effective registration statement covering the shares of common stock issuable upon exercise of the warrants and a current prospectus relating thereto available throughout the 30-day redemption period or (ii) we have elected to require the exercise of the warrants on a cashless basis; and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if, and only if, the reported last sale price of our common stock equals or exceeds $219.41 per share (as adjusted for stock splits, stock dividends, reorganizations, recapitalizations and the like) for any 20 trading days within a 30 trading-day period ending three business days before we send the notice of redemption to the warrant holders.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and when the 2025 public warrants become redeemable by us, we may exercise our redemption right even if we are unable to register or qualify the underlying securities for sale under all applicable state securities laws.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foregoing conditions are satisfied and we issue a notice of redemption of the 2025 public warrants, each warrant holder will be entitled to exercise its warrant prior to the scheduled redemption date. However, the price of our common stock may fall below the $219.41 redemption trigger price (as adjusted for stock splits, stock dividends, reorganizations, recapitalizations and the like) as well as the $140.20 warrant exercise price after the redemption notice is issued.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call the 2025 public warrants for redemption as described above, our management will have the option to require any holder that wishes to exercise its warrant to do so on a “cashless basis.” In determining whether to require all holders to exercise their 2025 public warrants on a “cashless basis,” our management and our Board may consider, among other factors, our cash position, the number of warrants that are outstanding and the dilutive effect on our stockholders of issuing the maximum number of shares of common stock issuable upon the exercise of the warrants. If Ouster management takes advantage of this option, all holders of 2025 public warrants would pay the exercise price by surrendering their warrants for that number of shares of common stock equal to the quotient obtained by dividing (a) the product of the number of shares of common stock underlying the warrants, multiplied </w:t>
      </w: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292100"/>
                <wp:effectExtent l="0" t="0" r="0" b="0"/>
                <wp:wrapNone/>
                <wp:docPr id="133" name="Frame12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|US-DOCS\149052485.4||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|US-DOCS\149052485.4||</w:t>
                      </w:r>
                    </w:p>
                  </w:txbxContent>
                </v:textbox>
                <w10:wrap type="none"/>
              </v:rect>
            </w:pict>
          </mc:Fallback>
        </mc:AlternateConten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 the excess of the “fair market value” of our common stock (defined below) over the exercise price of the warrants by (b) the fair market value. The “fair market value,” with respect to this paragraph only, will mean the average reported last sale price of Ouster common stock for the 10 trading days ending on the third trading day prior to the date on which the notice of redemption is sent to the holders of 2025 public warrants. If we take advantage of this option, the notice of redemption will contain the information necessary to calculate the number of shares of common stock to be received upon exercise of the 2025 public warrants, including the “fair market value” in such case.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number of outstanding shares of our common stock is increased by a stock dividend payable in shares of our common stock, or by a split-up of shares of common stock or other similar event, then, on the effective date of such stock dividend, split-up or similar event, the number of shares of common stock issuable on exercise of each 2025 public warrant will be increased in proportion to such increase in the outstanding shares of our common stock. A rights offering to holders of our common stock entitling holders to purchase shares of our common stock at a price less than the fair market value (defined below) will be deemed a stock dividend of a number of shares of our common stock equal to the product of (a) the number of shares of common stock actually sold in such rights offering (or issuable under any other equity securities sold in such rights offering that are convertible into or exercisable for common stock) and (b) one (1) minus the quotient of (i) the price per share of our common stock paid in such rights offering and (ii) the fair market value. For these purposes, (a) if the rights offering is for securities convertible into or exercisable for common stock, in determining the price payable for common stock, there will be taken into account any consideration received for such rights, as well as any additional amount payable upon exercise or conversion and (b) fair market value means the volume weighted average price of common stock as reported during the 10 trading day period ending on the trading day prior to the first date on which the shares of common stock trade on the applicable exchange or in the applicable market, regular way, without the right to receive such rights.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if we, at any time while the 2025 public warrants are outstanding and unexpired, pay a dividend or make a distribution in cash, securities or other assets to the holders of common stock on account of such shares of common stock (or other shares of Ouster capital stock into which the warrants are convertible), other than as described above or certain ordinary cash dividends, then the warrant exercise price will be decreased, effective immediately after the effective date of such event, by the amount of cash and/or the fair market value as determined by our Board in good faith of any securities or other assets paid on each share of common stock in respect of such event.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number of outstanding shares of our common stock is decreased by a consolidation, combination, reverse stock split or reclassification of shares of our common stock or other similar event, then, on the effective date of such consolidation, combination, reverse stock split, reclassification or similar event, the number of shares of common stock issuable on exercise of each 2025 public warrant will be decreased in proportion to such decrease in outstanding shares of our common stock.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Whenever the number of shares of our common stock purchasable upon the exercise of the 2025 public warrants is adjusted, as described above, the warrant exercise price will be adjusted by multiplying the warrant exercise price immediately prior to such adjustment by a fraction (a) the numerator of which will be the number of shares of common stock purchasable upon the exercise of the warrants immediately prior to such adjustment, and (b) the denominator of which will be the number of shares of common stock so purchasable immediately thereafter.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case of any reclassification or reorganization of the outstanding shares of our common stock (other than those described above or that solely affects the par value of such shares of our common stock), or in the case of any merger or consolidation of our Company with or into another entity or conversion of our Company as another entity (other than a consolidation or merger in which we are the continuing corporation and that does not result in any reclassification or reorganization of the issued and outstanding shares of our common stock), or in the case of any sale or conveyance to another entity of the assets or other property of ours as an entirety or substantially as an entirety in connection with which we are dissolved, the holders of the 2025 public warrants will thereafter have the right to purchase and receive, upon the basis and upon the terms and conditions specified in the warrants and in lieu of the shares of our common stock immediately theretofore purchasable and receivable upon the exercise of the rights represented thereby, the kind and amount of shares of our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w:t>
      </w:r>
    </w:p>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292100"/>
                <wp:effectExtent l="0" t="0" r="0" b="0"/>
                <wp:wrapNone/>
                <wp:docPr id="134" name="Frame12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|US-DOCS\149052485.4||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|US-DOCS\149052485.4||</w:t>
                      </w:r>
                    </w:p>
                  </w:txbxContent>
                </v:textbox>
                <w10:wrap type="none"/>
              </v:rect>
            </w:pict>
          </mc:Fallback>
        </mc:AlternateConten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of our common stock in the applicable event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2025 public warrant properly exercises the warrant within 30 days following public disclosure of such transaction, the warrant exercise price will be reduced by an amount (in dollars) as specified in the warrant agreement based on the Black-Scholes value (as defined in the warrant agreement) of the warrant. The purpose of such exercise price reduction is to provide additional value to holders of the 2025 public warrants when an extraordinary transaction occurs during the exercise period of the warrants pursuant to which the holders of the warrants otherwise do not receive the full potential value of the warrants in order to determine and realize the option value component of the warrant.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2025 public warrants are issued in registered form under a warrant agreement between Continental Stock Transfer &amp; Trust Company, as warrant agent, and Velodyne (formerly known as Graf Industrial Corp.) and became securities of Ouster at the closing of the Velodyne Merger. Warrant holders should review a copy of the warrant agreement for a complete description of the terms and conditions applicable to the 2025 public warrants. The warrant agreement provides that the terms of the 2025 public warrants may be amended without the consent of any holder to cure any ambiguity or to cure, correct or supplement any defective provision, or to add or change any other provisions with respect to matters or questions arising under the warrant agreement as the parties may deem necessary or desirable and which shall not adversely affect the interests of the holders, but requires the vote or written consent by the holders of at least 50% of the ten-outstanding 2025 public warrants to make any change that adversely affects the interests of the registered holders of warrants. You should review a copy of the warrant agreement, which is incorporated by reference as an exhibit to our Annual Report on Form 10-K, for a complete description of the terms and conditions applicable to the warrants.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2025 public warrants may be exercised upon surrender of the warrant certificate on or prior to the expiration date at the offices of the warrant agent, with the election to purchase form on the reverse side of the warrant certificate completed and executed as indicated, accompanied by full payment of the exercise price (or on a cashless basis, if applicable), by good certified check or good bank draft payable to the warrant agent or by wire of immediately available funds, for the number of warrants being exercised. The holders of 2025 public warrants do not have the rights of holders of common stock, including, without limitation, the right to receive dividends or other distributions, exercise any preemptive rights to vote, or to consent or receive notice as stockholders in respect of the meetings of stockholders or the election of directors of Ouster or any other matter until they exercise their warrants and receive shares of our common stock. After the issuance of shares of our common stock upon exercise of the 2025 public warrants, each holder will be entitled to one vote for each share held of record on all matters to be voted on by stockholders.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 fractional shares will be issued upon exercise of the 2025 public warrants. If, upon exercise of the 2025 public warrants, a holder would be entitled to receive a fractional interest in a share, we will, upon exercise, round down to the nearest whole number of shares of our common stock to be issued to the warrant holder.</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Amazon Warrants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Velodyne agreed to issue to Amazon.com NV Investment Holdings LLC, a wholly-owned subsidiary of Amazon Inc. (“Amazon”), a warrant to acquire, following customary antidilution adjustments, up to an aggregate of 3,263,898 shares of the Company’s common stock at an exercise price of $50.71 per share (the “Amazon Warrant”), which was assumed by the Company in connection with the Velodyne Merger. </w:t>
      </w:r>
    </w:p>
    <w:p>
      <w:pPr>
        <w:pStyle w:val="TextBody"/>
        <w:bidi w:val="0"/>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292100"/>
                <wp:effectExtent l="0" t="0" r="0" b="0"/>
                <wp:wrapNone/>
                <wp:docPr id="135" name="Frame12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|US-DOCS\149052485.4||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|US-DOCS\149052485.4||</w:t>
                      </w:r>
                    </w:p>
                  </w:txbxContent>
                </v:textbox>
                <w10:wrap type="none"/>
              </v:rect>
            </w:pict>
          </mc:Fallback>
        </mc:AlternateConten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exercise price and the warrant shares issuable upon exercise of the Amazon Warrant are subject to further antidilution adjustments, including in the event the Company makes certain sales of common stock (or securities exercisable or convertible into or exchangeable for shares of the Company’s common stock) at a price less than the exercise price of the Amazon Warrant. As a result of the issuance and sale by the Company of an additional 2,878,875 shares of common stock in the twelve months ended December 31, 2023 pursuant to the At-Market-Issuance Sales Agreement at prices below the exercise price of the Amazon Warrant, an antidilution adjustment to the terms of the Amazon Warrant occurred, resulting in the increase in the number of shares issuable under the Amazon Warrant by 618 shares of common stock and a reduction to the original strike price of the Amazon Warrant to $50.70 per share. As of December 31, 2023, there were 3,264,516 shares of common stock issuable under the Amazon Warrant.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Amazon Warrant shares vest in multiple tranches over time based on payments of up to $100.0 million by Amazon or its affiliates (directly or indirectly through third parties) to the Company in connection with Amazon’s purchase of goods and services. The fair value of the unvested Amazon Warrant, representing 1,330,903 unvested Ouster common stock shares, will be recognized as a non-cash stock-based reduction to revenue when Amazon makes payments and vesting conditions become probable of being achieved.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right to exercise the Amazon Warrant and receive the warrant shares that have vested expires February 4, 2030. As of December 31, 2023, 1,933,613 Amazon Warrant shares have vested.</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292100"/>
                <wp:effectExtent l="0" t="0" r="0" b="0"/>
                <wp:wrapNone/>
                <wp:docPr id="136" name="Frame12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|US-DOCS\149052485.4||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|US-DOCS\149052485.4||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LIST OF SUBSIDIARIES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list of the direct and indirect subsidiaries of Ouster, Inc., that is current as of March 22,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735" w:type="dxa"/>
        <w:jc w:val="left"/>
        <w:tblInd w:w="0" w:type="dxa"/>
        <w:tblLayout w:type="fixed"/>
        <w:tblCellMar>
          <w:top w:w="28" w:type="dxa"/>
          <w:left w:w="28" w:type="dxa"/>
          <w:bottom w:w="28" w:type="dxa"/>
          <w:right w:w="28" w:type="dxa"/>
        </w:tblCellMar>
      </w:tblPr>
      <w:tblGrid>
        <w:gridCol w:w="1560"/>
        <w:gridCol w:w="1371"/>
        <w:gridCol w:w="1374"/>
        <w:gridCol w:w="712"/>
        <w:gridCol w:w="712"/>
        <w:gridCol w:w="1006"/>
      </w:tblGrid>
      <w:tr>
        <w:trPr/>
        <w:tc>
          <w:tcPr>
            <w:tcW w:w="15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Subsidiaries</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Jurisdiction</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Ouster Canada Limited</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Ouster France SAS</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Ouster Hong Kong Limited</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Ouster (Suzhou) Intelligent Technology Co., Ltd.</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People’s Republic of China </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Ouster Netherlands, B.V.</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Ouster (Thailand) Co., Limited</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Thailand</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Ouster UK Limited</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United Kingdom</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Sense Photonics, Inc.</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USA</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14352947 Canada Inc. </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14356811 Canada Inc. </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Canada </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Bluecity Technology Inc. </w:t>
              <w:br/>
              <w:t>(f/k/a 10731617 Canada Inc.)</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Beijing Velodyne LiDAR Technology Co., Limited</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Velodyne Europe GmbH</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Velodyne, LLC</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USA</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Velodyne Lidar USA, Inc.</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USA</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Velodyne HK Limited</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Velodyne Lidar India Private Limited</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Velodyne 2022 Limited</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Thailand</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480" w:after="48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hereby consent to the incorporation by reference in the Registration Statements on Form S-3 (Nos. 333-264600 and 333-254987) and Form S-8 (Nos. 333-269748, 333-266141, 333-266140, 333-260576 and 333-257859) of Ouster, Inc. of our report dated March 28, 2024 relating to the financial statements, which appears in this Form 10-K.</w:t>
      </w:r>
    </w:p>
    <w:p>
      <w:pPr>
        <w:pStyle w:val="TextBody"/>
        <w:bidi w:val="0"/>
        <w:spacing w:before="0" w:after="12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/s/PricewaterhouseCoopers LLP</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 Jose, CA</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28,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75" w:after="283"/>
        <w:jc w:val="right"/>
        <w:rPr>
          <w:rFonts w:ascii="Times New Roman;sans-serif" w:hAnsi="Times New Roman;sans-serif"/>
          <w:b/>
          <w:color w:val="000000"/>
          <w:sz w:val="20"/>
        </w:rPr>
      </w:pPr>
      <w:r>
        <w:rPr>
          <w:rFonts w:ascii="Times New Roman;sans-serif" w:hAnsi="Times New Roman;sans-serif"/>
          <w:b/>
          <w:color w:val="000000"/>
          <w:sz w:val="20"/>
        </w:rPr>
        <w:t>Exhibit 24.1</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75" w:after="283"/>
        <w:jc w:val="right"/>
        <w:rPr/>
      </w:pPr>
      <w:r>
        <w:rPr/>
      </w:r>
    </w:p>
    <w:p>
      <w:pPr>
        <w:pStyle w:val="TextBody"/>
        <w:bidi w:val="0"/>
        <w:spacing w:before="6" w:after="283"/>
        <w:jc w:val="left"/>
        <w:rPr/>
      </w:pPr>
      <w:r>
        <w:rPr/>
      </w:r>
    </w:p>
    <w:p>
      <w:pPr>
        <w:pStyle w:val="TextBody"/>
        <w:bidi w:val="0"/>
        <w:spacing w:lineRule="auto" w:line="240" w:before="75" w:after="283"/>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before="8" w:after="283"/>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KNOW ALL MEN BY THESE PRESENTS, that OUSTER, INC., a Delaware corporation (the “Company”), and each of the undersigned directors of the Company, hereby constitutes and appoints Angus Pacala, Mark Weinswig and Megan Chung, and each of them (with full power to each of them to act alone), his or her true and lawful attorney-in-fact and agent, with full power of substitution and resubstitution, for him or her and on his or her behalf in his or her name, place and stead, in any and all capacities to sign, execute, affix his or her seal thereto and file, or cause such actions to be taken with regards to, the Company’s Annual Report on Form 10-K for the year ended December 31, 2023 under the Securities Exchange Act of 1934, as amended, including any amendment or amendments thereto, with all exhibits and any all documents required to be filed with respect thereto with any regulatory authority.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is hereby granted to said attorneys-in-fact and agents, and each of them, full power and authority to do and perform each and every act and thing, requisite and necessary to be done in respect of the foregoing as fully as he or she might or could do if personally present, thereby ratifying and confirming all that said attorneys-in-fact and agents, or their substitute or substitutes may lawfully do or cause to be done by virtue hereof.</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Power of Attorney may be executed in any number of counterparts, each of which shall be an original, but all of which taken together shall constitute one and the same instrument and any of the undersigned directors may execute this Power of Attorney by signing any such counterpart.</w:t>
      </w:r>
    </w:p>
    <w:p>
      <w:pPr>
        <w:pStyle w:val="TextBody"/>
        <w:bidi w:val="0"/>
        <w:spacing w:before="0" w:after="0"/>
        <w:jc w:val="left"/>
        <w:rPr/>
      </w:pPr>
      <w:r>
        <w:rPr/>
      </w:r>
    </w:p>
    <w:tbl>
      <w:tblPr>
        <w:tblW w:w="7273" w:type="dxa"/>
        <w:jc w:val="left"/>
        <w:tblInd w:w="0" w:type="dxa"/>
        <w:tblLayout w:type="fixed"/>
        <w:tblCellMar>
          <w:top w:w="28" w:type="dxa"/>
          <w:left w:w="28" w:type="dxa"/>
          <w:bottom w:w="28" w:type="dxa"/>
          <w:right w:w="28" w:type="dxa"/>
        </w:tblCellMar>
      </w:tblPr>
      <w:tblGrid>
        <w:gridCol w:w="1018"/>
        <w:gridCol w:w="897"/>
        <w:gridCol w:w="905"/>
        <w:gridCol w:w="1000"/>
        <w:gridCol w:w="1000"/>
        <w:gridCol w:w="1014"/>
        <w:gridCol w:w="420"/>
        <w:gridCol w:w="420"/>
        <w:gridCol w:w="599"/>
      </w:tblGrid>
      <w:tr>
        <w:trPr/>
        <w:tc>
          <w:tcPr>
            <w:tcW w:w="101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color w:val="000000"/>
                <w:sz w:val="20"/>
              </w:rPr>
            </w:pPr>
            <w:r>
              <w:rPr>
                <w:rFonts w:ascii="Times New Roman;sans-serif" w:hAnsi="Times New Roman;sans-serif"/>
                <w:b/>
                <w:color w:val="000000"/>
                <w:sz w:val="20"/>
              </w:rPr>
              <w:t>Signature</w:t>
            </w:r>
          </w:p>
        </w:tc>
        <w:tc>
          <w:tcPr>
            <w:tcW w:w="301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143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82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Theodore L. Tewksbury, Ph.D.</w:t>
            </w:r>
          </w:p>
        </w:tc>
        <w:tc>
          <w:tcPr>
            <w:tcW w:w="3014" w:type="dxa"/>
            <w:gridSpan w:val="3"/>
            <w:vMerge w:val="restart"/>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of the Board of Directors</w:t>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64"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2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Theodore L. Tewksbury, Ph.D.</w:t>
            </w:r>
          </w:p>
        </w:tc>
        <w:tc>
          <w:tcPr>
            <w:tcW w:w="3014"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Susan Heystee</w:t>
            </w:r>
          </w:p>
        </w:tc>
        <w:tc>
          <w:tcPr>
            <w:tcW w:w="3014" w:type="dxa"/>
            <w:gridSpan w:val="3"/>
            <w:vMerge w:val="restart"/>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Chair of the Board of Directors</w:t>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64"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2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Susan Heystee</w:t>
            </w:r>
          </w:p>
        </w:tc>
        <w:tc>
          <w:tcPr>
            <w:tcW w:w="3014"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Virginia Boulet</w:t>
            </w:r>
          </w:p>
        </w:tc>
        <w:tc>
          <w:tcPr>
            <w:tcW w:w="3014" w:type="dxa"/>
            <w:gridSpan w:val="3"/>
            <w:vMerge w:val="restart"/>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64"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2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 Boulet</w:t>
            </w:r>
          </w:p>
        </w:tc>
        <w:tc>
          <w:tcPr>
            <w:tcW w:w="3014"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Ernest Maddock</w:t>
            </w:r>
          </w:p>
        </w:tc>
        <w:tc>
          <w:tcPr>
            <w:tcW w:w="3014" w:type="dxa"/>
            <w:gridSpan w:val="3"/>
            <w:vMerge w:val="restart"/>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64"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2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Ernest Maddock</w:t>
            </w:r>
          </w:p>
        </w:tc>
        <w:tc>
          <w:tcPr>
            <w:tcW w:w="3014"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Karin Rådström</w:t>
            </w:r>
          </w:p>
        </w:tc>
        <w:tc>
          <w:tcPr>
            <w:tcW w:w="3014" w:type="dxa"/>
            <w:gridSpan w:val="3"/>
            <w:vMerge w:val="restart"/>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64"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2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Karin Rådström</w:t>
            </w:r>
          </w:p>
        </w:tc>
        <w:tc>
          <w:tcPr>
            <w:tcW w:w="3014"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Kristin Slanina</w:t>
            </w:r>
          </w:p>
        </w:tc>
        <w:tc>
          <w:tcPr>
            <w:tcW w:w="3014" w:type="dxa"/>
            <w:gridSpan w:val="3"/>
            <w:vMerge w:val="restart"/>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64"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2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Kristin Slanina</w:t>
            </w:r>
          </w:p>
        </w:tc>
        <w:tc>
          <w:tcPr>
            <w:tcW w:w="3014"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Riaz Valani</w:t>
            </w:r>
          </w:p>
        </w:tc>
        <w:tc>
          <w:tcPr>
            <w:tcW w:w="3014" w:type="dxa"/>
            <w:gridSpan w:val="3"/>
            <w:vMerge w:val="restart"/>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64"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2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Riaz Valani</w:t>
            </w:r>
          </w:p>
        </w:tc>
        <w:tc>
          <w:tcPr>
            <w:tcW w:w="3014"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31.1</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33"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CERTIFICATION </w:t>
      </w:r>
    </w:p>
    <w:p>
      <w:pPr>
        <w:pStyle w:val="TextBody"/>
        <w:bidi w:val="0"/>
        <w:spacing w:lineRule="auto" w:line="333"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Angus Pacala, certify that:</w:t>
      </w:r>
    </w:p>
    <w:p>
      <w:pPr>
        <w:pStyle w:val="TextBody"/>
        <w:bidi w:val="0"/>
        <w:spacing w:before="0" w:after="0"/>
        <w:jc w:val="left"/>
        <w:rPr/>
      </w:pPr>
      <w:r>
        <w:rPr/>
      </w:r>
    </w:p>
    <w:tbl>
      <w:tblPr>
        <w:tblW w:w="5757" w:type="dxa"/>
        <w:jc w:val="left"/>
        <w:tblInd w:w="0" w:type="dxa"/>
        <w:tblLayout w:type="fixed"/>
        <w:tblCellMar>
          <w:top w:w="28" w:type="dxa"/>
          <w:left w:w="28" w:type="dxa"/>
          <w:bottom w:w="28" w:type="dxa"/>
          <w:right w:w="28" w:type="dxa"/>
        </w:tblCellMar>
      </w:tblPr>
      <w:tblGrid>
        <w:gridCol w:w="124"/>
        <w:gridCol w:w="109"/>
        <w:gridCol w:w="109"/>
        <w:gridCol w:w="1583"/>
        <w:gridCol w:w="1583"/>
        <w:gridCol w:w="22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4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Annual Report on Form 10-K of Ouster, Inc.;</w:t>
            </w:r>
          </w:p>
        </w:tc>
      </w:tr>
    </w:tbl>
    <w:p>
      <w:pPr>
        <w:pStyle w:val="TextBody"/>
        <w:bidi w:val="0"/>
        <w:spacing w:before="120" w:after="283"/>
        <w:jc w:val="left"/>
        <w:rPr/>
      </w:pPr>
      <w:r>
        <w:rPr/>
      </w:r>
    </w:p>
    <w:tbl>
      <w:tblPr>
        <w:tblW w:w="9492" w:type="dxa"/>
        <w:jc w:val="left"/>
        <w:tblInd w:w="0" w:type="dxa"/>
        <w:tblLayout w:type="fixed"/>
        <w:tblCellMar>
          <w:top w:w="28" w:type="dxa"/>
          <w:left w:w="28" w:type="dxa"/>
          <w:bottom w:w="28" w:type="dxa"/>
          <w:right w:w="28" w:type="dxa"/>
        </w:tblCellMar>
      </w:tblPr>
      <w:tblGrid>
        <w:gridCol w:w="124"/>
        <w:gridCol w:w="109"/>
        <w:gridCol w:w="109"/>
        <w:gridCol w:w="2679"/>
        <w:gridCol w:w="2679"/>
        <w:gridCol w:w="37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37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1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my knowledge, this report does not contain any untrue statement of a material fact or omit to state a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material fact necessary to make the statements made, in light of the circumstances under which such statements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were made, not misleading with respect to the period covered by this report;</w:t>
            </w:r>
          </w:p>
        </w:tc>
      </w:tr>
    </w:tbl>
    <w:p>
      <w:pPr>
        <w:pStyle w:val="TextBody"/>
        <w:bidi w:val="0"/>
        <w:spacing w:before="120" w:after="283"/>
        <w:jc w:val="left"/>
        <w:rPr/>
      </w:pPr>
      <w:r>
        <w:rPr/>
      </w:r>
    </w:p>
    <w:tbl>
      <w:tblPr>
        <w:tblW w:w="9537" w:type="dxa"/>
        <w:jc w:val="left"/>
        <w:tblInd w:w="0" w:type="dxa"/>
        <w:tblLayout w:type="fixed"/>
        <w:tblCellMar>
          <w:top w:w="28" w:type="dxa"/>
          <w:left w:w="28" w:type="dxa"/>
          <w:bottom w:w="28" w:type="dxa"/>
          <w:right w:w="28" w:type="dxa"/>
        </w:tblCellMar>
      </w:tblPr>
      <w:tblGrid>
        <w:gridCol w:w="124"/>
        <w:gridCol w:w="109"/>
        <w:gridCol w:w="109"/>
        <w:gridCol w:w="2690"/>
        <w:gridCol w:w="2690"/>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my knowledge, the financial statements, and other financial information included in this report, fairly </w:t>
              <w:br/>
              <w:t xml:space="preserve">present in all material respects the financial condition, results of operations and cash flows of the registrant as </w:t>
              <w:br/>
              <w:t>of, and for, the periods presented in this report;</w:t>
            </w:r>
          </w:p>
        </w:tc>
      </w:tr>
    </w:tbl>
    <w:p>
      <w:pPr>
        <w:pStyle w:val="TextBody"/>
        <w:bidi w:val="0"/>
        <w:spacing w:before="120" w:after="283"/>
        <w:jc w:val="left"/>
        <w:rPr/>
      </w:pPr>
      <w:r>
        <w:rPr/>
      </w:r>
    </w:p>
    <w:tbl>
      <w:tblPr>
        <w:tblW w:w="9432" w:type="dxa"/>
        <w:jc w:val="left"/>
        <w:tblInd w:w="0" w:type="dxa"/>
        <w:tblLayout w:type="fixed"/>
        <w:tblCellMar>
          <w:top w:w="28" w:type="dxa"/>
          <w:left w:w="28" w:type="dxa"/>
          <w:bottom w:w="28" w:type="dxa"/>
          <w:right w:w="28" w:type="dxa"/>
        </w:tblCellMar>
      </w:tblPr>
      <w:tblGrid>
        <w:gridCol w:w="124"/>
        <w:gridCol w:w="109"/>
        <w:gridCol w:w="109"/>
        <w:gridCol w:w="2661"/>
        <w:gridCol w:w="2661"/>
        <w:gridCol w:w="37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37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registrant’s other certifying officer and I are responsible for establishing and maintaining disclosure </w:t>
              <w:br/>
              <w:t xml:space="preserve">controls and procedures (as defined in Exchange Act Rules 13a-15(e) and 15d-15(e)) and internal control over </w:t>
              <w:br/>
              <w:t>financial reporting (as defined in Exchange Act Rules 13a-15(f) and 15d-15(f)) for the registrant and have:</w:t>
            </w:r>
          </w:p>
        </w:tc>
      </w:tr>
    </w:tbl>
    <w:p>
      <w:pPr>
        <w:pStyle w:val="TextBody"/>
        <w:bidi w:val="0"/>
        <w:spacing w:before="120" w:after="283"/>
        <w:jc w:val="left"/>
        <w:rPr/>
      </w:pPr>
      <w:r>
        <w:rPr/>
      </w:r>
    </w:p>
    <w:tbl>
      <w:tblPr>
        <w:tblW w:w="947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73"/>
        <w:gridCol w:w="2573"/>
        <w:gridCol w:w="36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8804"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Designed such disclosure controls and procedures, or caused such disclosure controls and procedures to be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designed under our supervision, to ensure that material information relating to the registrant, including its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subsidiaries, is made known to us by others within those entities, particularly during the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period in which this report is being prepared;</w:t>
            </w:r>
          </w:p>
        </w:tc>
      </w:tr>
    </w:tbl>
    <w:p>
      <w:pPr>
        <w:pStyle w:val="TextBody"/>
        <w:bidi w:val="0"/>
        <w:spacing w:before="120" w:after="283"/>
        <w:jc w:val="left"/>
        <w:rPr/>
      </w:pPr>
      <w:r>
        <w:rPr/>
      </w:r>
    </w:p>
    <w:tbl>
      <w:tblPr>
        <w:tblW w:w="9521"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590"/>
        <w:gridCol w:w="2590"/>
        <w:gridCol w:w="36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36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8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Designed such internal control over financial reporting, or caused such internal control over financial </w:t>
              <w:br/>
              <w:t xml:space="preserve">reporting to be designed under our supervision, to provide reasonable assurance regarding the reliability of </w:t>
              <w:br/>
              <w:t xml:space="preserve">financial reporting and the preparation of financial statements for external purposes in accordance with </w:t>
              <w:br/>
              <w:t>generally accepted accounting principles;</w:t>
            </w:r>
          </w:p>
        </w:tc>
      </w:tr>
    </w:tbl>
    <w:p>
      <w:pPr>
        <w:pStyle w:val="TextBody"/>
        <w:bidi w:val="0"/>
        <w:spacing w:before="120" w:after="283"/>
        <w:jc w:val="left"/>
        <w:rPr/>
      </w:pPr>
      <w:r>
        <w:rPr/>
      </w:r>
    </w:p>
    <w:tbl>
      <w:tblPr>
        <w:tblW w:w="92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12"/>
        <w:gridCol w:w="2512"/>
        <w:gridCol w:w="35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Evaluated the effectiveness of the registrant’s disclosure controls and procedures and presented in this </w:t>
              <w:br/>
              <w:t xml:space="preserve">report our conclusions about the effectiveness of the disclosure controls and procedures, as of the end of </w:t>
              <w:br/>
              <w:t>the period covered by this report based on such evaluation; and</w:t>
            </w:r>
          </w:p>
        </w:tc>
      </w:tr>
    </w:tbl>
    <w:p>
      <w:pPr>
        <w:pStyle w:val="TextBody"/>
        <w:bidi w:val="0"/>
        <w:spacing w:before="120" w:after="283"/>
        <w:jc w:val="left"/>
        <w:rPr/>
      </w:pPr>
      <w:r>
        <w:rPr/>
      </w:r>
    </w:p>
    <w:tbl>
      <w:tblPr>
        <w:tblW w:w="9552"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594"/>
        <w:gridCol w:w="2594"/>
        <w:gridCol w:w="36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36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Disclosed in this report any change in the registrant’s internal control over financial reporting that occurred </w:t>
              <w:br/>
              <w:t xml:space="preserve">during the registrant’s most recent fiscal quarter (the registrant’s fourth fiscal quarter in the case of an </w:t>
              <w:br/>
              <w:t xml:space="preserve">annual report) that has materially affected, or is reasonably likely to materially affect, the registrant’s </w:t>
              <w:br/>
              <w:t>internal control over financial reporting; and</w:t>
            </w:r>
          </w:p>
        </w:tc>
      </w:tr>
    </w:tbl>
    <w:p>
      <w:pPr>
        <w:pStyle w:val="TextBody"/>
        <w:bidi w:val="0"/>
        <w:spacing w:lineRule="auto" w:line="333"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31.1</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left"/>
        <w:rPr/>
      </w:pPr>
      <w:r>
        <w:rPr/>
      </w:r>
    </w:p>
    <w:tbl>
      <w:tblPr>
        <w:tblW w:w="9431" w:type="dxa"/>
        <w:jc w:val="left"/>
        <w:tblInd w:w="0" w:type="dxa"/>
        <w:tblLayout w:type="fixed"/>
        <w:tblCellMar>
          <w:top w:w="28" w:type="dxa"/>
          <w:left w:w="28" w:type="dxa"/>
          <w:bottom w:w="28" w:type="dxa"/>
          <w:right w:w="28" w:type="dxa"/>
        </w:tblCellMar>
      </w:tblPr>
      <w:tblGrid>
        <w:gridCol w:w="124"/>
        <w:gridCol w:w="109"/>
        <w:gridCol w:w="109"/>
        <w:gridCol w:w="2655"/>
        <w:gridCol w:w="2655"/>
        <w:gridCol w:w="37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37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w:t>
              <w:br/>
              <w:t>control over financial reporting, to the registrant’s auditors and the audit committee of the registrant’s board of</w:t>
              <w:br/>
              <w:t>directors (or persons performing the equivalent functions):</w:t>
            </w:r>
          </w:p>
        </w:tc>
      </w:tr>
    </w:tbl>
    <w:p>
      <w:pPr>
        <w:pStyle w:val="TextBody"/>
        <w:bidi w:val="0"/>
        <w:spacing w:before="120" w:after="283"/>
        <w:jc w:val="left"/>
        <w:rPr/>
      </w:pPr>
      <w:r>
        <w:rPr/>
      </w:r>
    </w:p>
    <w:tbl>
      <w:tblPr>
        <w:tblW w:w="947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79"/>
        <w:gridCol w:w="2579"/>
        <w:gridCol w:w="36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8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w:t>
              <w:br/>
              <w:t>financial reporting which are reasonably likely to adversely affect the registrant’s ability to record, process,</w:t>
              <w:br/>
              <w:t>summarize and report financial information; and</w:t>
            </w:r>
          </w:p>
        </w:tc>
      </w:tr>
    </w:tbl>
    <w:p>
      <w:pPr>
        <w:pStyle w:val="TextBody"/>
        <w:bidi w:val="0"/>
        <w:spacing w:before="120" w:after="283"/>
        <w:jc w:val="left"/>
        <w:rPr/>
      </w:pPr>
      <w:r>
        <w:rPr/>
      </w:r>
    </w:p>
    <w:tbl>
      <w:tblPr>
        <w:tblW w:w="9296"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523"/>
        <w:gridCol w:w="2523"/>
        <w:gridCol w:w="35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35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8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w:t>
              <w:br/>
              <w:t>role in the registrant’s internal control over financial reporting.</w:t>
            </w:r>
          </w:p>
        </w:tc>
      </w:tr>
    </w:tbl>
    <w:p>
      <w:pPr>
        <w:pStyle w:val="TextBody"/>
        <w:bidi w:val="0"/>
        <w:spacing w:lineRule="auto" w:line="333" w:before="120" w:after="283"/>
        <w:jc w:val="left"/>
        <w:rPr>
          <w:color w:val="000000"/>
        </w:rPr>
      </w:pPr>
      <w:r>
        <w:rPr>
          <w:color w:val="000000"/>
        </w:rPr>
        <w:t> </w:t>
      </w:r>
    </w:p>
    <w:tbl>
      <w:tblPr>
        <w:tblW w:w="6100" w:type="dxa"/>
        <w:jc w:val="left"/>
        <w:tblInd w:w="0" w:type="dxa"/>
        <w:tblLayout w:type="fixed"/>
        <w:tblCellMar>
          <w:top w:w="28" w:type="dxa"/>
          <w:left w:w="28" w:type="dxa"/>
          <w:bottom w:w="28" w:type="dxa"/>
          <w:right w:w="28" w:type="dxa"/>
        </w:tblCellMar>
      </w:tblPr>
      <w:tblGrid>
        <w:gridCol w:w="683"/>
        <w:gridCol w:w="601"/>
        <w:gridCol w:w="605"/>
        <w:gridCol w:w="134"/>
        <w:gridCol w:w="134"/>
        <w:gridCol w:w="136"/>
        <w:gridCol w:w="109"/>
        <w:gridCol w:w="109"/>
        <w:gridCol w:w="109"/>
        <w:gridCol w:w="1020"/>
        <w:gridCol w:w="1020"/>
        <w:gridCol w:w="1440"/>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28,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/s/Angus Pacala</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Angus Pacala</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0"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Co-Founder and Chief Executive Officer </w:t>
            </w:r>
          </w:p>
          <w:p>
            <w:pPr>
              <w:pStyle w:val="TableContents"/>
              <w:bidi w:val="0"/>
              <w:spacing w:lineRule="auto" w:line="333" w:before="0" w:after="3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31.2</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33"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CERTIFICATION </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Mark Weinswig, certify that:</w:t>
      </w:r>
    </w:p>
    <w:p>
      <w:pPr>
        <w:pStyle w:val="TextBody"/>
        <w:bidi w:val="0"/>
        <w:spacing w:before="0" w:after="0"/>
        <w:jc w:val="left"/>
        <w:rPr/>
      </w:pPr>
      <w:r>
        <w:rPr/>
      </w:r>
    </w:p>
    <w:tbl>
      <w:tblPr>
        <w:tblW w:w="5757" w:type="dxa"/>
        <w:jc w:val="left"/>
        <w:tblInd w:w="0" w:type="dxa"/>
        <w:tblLayout w:type="fixed"/>
        <w:tblCellMar>
          <w:top w:w="28" w:type="dxa"/>
          <w:left w:w="28" w:type="dxa"/>
          <w:bottom w:w="28" w:type="dxa"/>
          <w:right w:w="28" w:type="dxa"/>
        </w:tblCellMar>
      </w:tblPr>
      <w:tblGrid>
        <w:gridCol w:w="124"/>
        <w:gridCol w:w="109"/>
        <w:gridCol w:w="109"/>
        <w:gridCol w:w="1583"/>
        <w:gridCol w:w="1583"/>
        <w:gridCol w:w="22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Annual Report on Form 10-K of Ouster, Inc.;</w:t>
            </w:r>
          </w:p>
        </w:tc>
      </w:tr>
    </w:tbl>
    <w:p>
      <w:pPr>
        <w:pStyle w:val="TextBody"/>
        <w:bidi w:val="0"/>
        <w:spacing w:before="120" w:after="283"/>
        <w:jc w:val="left"/>
        <w:rPr/>
      </w:pPr>
      <w:r>
        <w:rPr/>
      </w:r>
    </w:p>
    <w:tbl>
      <w:tblPr>
        <w:tblW w:w="9492" w:type="dxa"/>
        <w:jc w:val="left"/>
        <w:tblInd w:w="0" w:type="dxa"/>
        <w:tblLayout w:type="fixed"/>
        <w:tblCellMar>
          <w:top w:w="28" w:type="dxa"/>
          <w:left w:w="28" w:type="dxa"/>
          <w:bottom w:w="28" w:type="dxa"/>
          <w:right w:w="28" w:type="dxa"/>
        </w:tblCellMar>
      </w:tblPr>
      <w:tblGrid>
        <w:gridCol w:w="124"/>
        <w:gridCol w:w="109"/>
        <w:gridCol w:w="109"/>
        <w:gridCol w:w="2679"/>
        <w:gridCol w:w="2679"/>
        <w:gridCol w:w="37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37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1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my knowledge, this report does not contain any untrue statement of a material fact or omit to state a </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material fact necessary to make the statements made, in light of the circumstances under which such statements </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were made, not misleading with respect to the period covered by this report;</w:t>
            </w:r>
          </w:p>
        </w:tc>
      </w:tr>
    </w:tbl>
    <w:p>
      <w:pPr>
        <w:pStyle w:val="TextBody"/>
        <w:bidi w:val="0"/>
        <w:spacing w:before="120" w:after="283"/>
        <w:jc w:val="left"/>
        <w:rPr/>
      </w:pPr>
      <w:r>
        <w:rPr/>
      </w:r>
    </w:p>
    <w:tbl>
      <w:tblPr>
        <w:tblW w:w="9537" w:type="dxa"/>
        <w:jc w:val="left"/>
        <w:tblInd w:w="0" w:type="dxa"/>
        <w:tblLayout w:type="fixed"/>
        <w:tblCellMar>
          <w:top w:w="28" w:type="dxa"/>
          <w:left w:w="28" w:type="dxa"/>
          <w:bottom w:w="28" w:type="dxa"/>
          <w:right w:w="28" w:type="dxa"/>
        </w:tblCellMar>
      </w:tblPr>
      <w:tblGrid>
        <w:gridCol w:w="124"/>
        <w:gridCol w:w="109"/>
        <w:gridCol w:w="109"/>
        <w:gridCol w:w="2690"/>
        <w:gridCol w:w="2690"/>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1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my knowledge, the financial statements, and other financial information included in this report, fairly </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present in all material respects the financial condition, results of operations and cash flows of the registrant as </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and for, the periods presented in this report;</w:t>
            </w:r>
          </w:p>
          <w:p>
            <w:pPr>
              <w:pStyle w:val="TableContents"/>
              <w:bidi w:val="0"/>
              <w:spacing w:before="0" w:after="0"/>
              <w:jc w:val="left"/>
              <w:rPr/>
            </w:pPr>
            <w:r>
              <w:rPr/>
            </w:r>
          </w:p>
        </w:tc>
      </w:tr>
    </w:tbl>
    <w:p>
      <w:pPr>
        <w:pStyle w:val="TextBody"/>
        <w:bidi w:val="0"/>
        <w:spacing w:before="120" w:after="283"/>
        <w:jc w:val="left"/>
        <w:rPr/>
      </w:pPr>
      <w:r>
        <w:rPr/>
      </w:r>
    </w:p>
    <w:tbl>
      <w:tblPr>
        <w:tblW w:w="9432" w:type="dxa"/>
        <w:jc w:val="left"/>
        <w:tblInd w:w="0" w:type="dxa"/>
        <w:tblLayout w:type="fixed"/>
        <w:tblCellMar>
          <w:top w:w="28" w:type="dxa"/>
          <w:left w:w="28" w:type="dxa"/>
          <w:bottom w:w="28" w:type="dxa"/>
          <w:right w:w="28" w:type="dxa"/>
        </w:tblCellMar>
      </w:tblPr>
      <w:tblGrid>
        <w:gridCol w:w="124"/>
        <w:gridCol w:w="109"/>
        <w:gridCol w:w="109"/>
        <w:gridCol w:w="2661"/>
        <w:gridCol w:w="2661"/>
        <w:gridCol w:w="37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37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09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registrant’s other certifying officer and I are responsible for establishing and maintaining disclosure </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controls and procedures (as defined in Exchange Act Rules 13a-15(e) and 15d-15(e)) and internal control over </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financial reporting (as defined in Exchange Act Rules 13a-15(f) and 15d-15(f)) for the registrant and have:</w:t>
            </w:r>
          </w:p>
          <w:p>
            <w:pPr>
              <w:pStyle w:val="TableContents"/>
              <w:bidi w:val="0"/>
              <w:spacing w:before="0" w:after="0"/>
              <w:jc w:val="left"/>
              <w:rPr/>
            </w:pPr>
            <w:r>
              <w:rPr/>
            </w:r>
          </w:p>
        </w:tc>
      </w:tr>
    </w:tbl>
    <w:p>
      <w:pPr>
        <w:pStyle w:val="TextBody"/>
        <w:bidi w:val="0"/>
        <w:spacing w:before="120" w:after="283"/>
        <w:jc w:val="left"/>
        <w:rPr/>
      </w:pPr>
      <w:r>
        <w:rPr/>
      </w:r>
    </w:p>
    <w:tbl>
      <w:tblPr>
        <w:tblW w:w="947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73"/>
        <w:gridCol w:w="2573"/>
        <w:gridCol w:w="36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88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Designed such disclosure controls and procedures, or caused such disclosure controls and procedures to be </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designed under our supervision, to ensure that material information relating to the registrant, including its </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subsidiaries, is made known to us by others within those entities, particularly during the </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period in which this report is being prepared;</w:t>
            </w:r>
          </w:p>
        </w:tc>
      </w:tr>
    </w:tbl>
    <w:p>
      <w:pPr>
        <w:pStyle w:val="TextBody"/>
        <w:bidi w:val="0"/>
        <w:spacing w:before="120" w:after="283"/>
        <w:jc w:val="left"/>
        <w:rPr/>
      </w:pPr>
      <w:r>
        <w:rPr/>
      </w:r>
    </w:p>
    <w:tbl>
      <w:tblPr>
        <w:tblW w:w="9521"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590"/>
        <w:gridCol w:w="2590"/>
        <w:gridCol w:w="36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36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88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Designed such internal control over financial reporting, or caused such internal control over financial </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reporting to be designed under our supervision, to provide reasonable assurance regarding the reliability of </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reporting and the preparation of financial statements for external purposes in accordance with </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w:t>
            </w:r>
          </w:p>
        </w:tc>
      </w:tr>
    </w:tbl>
    <w:p>
      <w:pPr>
        <w:pStyle w:val="TextBody"/>
        <w:bidi w:val="0"/>
        <w:spacing w:before="120" w:after="283"/>
        <w:jc w:val="left"/>
        <w:rPr/>
      </w:pPr>
      <w:r>
        <w:rPr/>
      </w:r>
    </w:p>
    <w:tbl>
      <w:tblPr>
        <w:tblW w:w="92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12"/>
        <w:gridCol w:w="2512"/>
        <w:gridCol w:w="35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85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Evaluated the effectiveness of the registrant’s disclosure controls and procedures and presented in this </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report our conclusions about the effectiveness of the disclosure controls and procedures, as of the end of </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period covered by this report based on such evaluation; and</w:t>
            </w:r>
          </w:p>
        </w:tc>
      </w:tr>
    </w:tbl>
    <w:p>
      <w:pPr>
        <w:pStyle w:val="TextBody"/>
        <w:bidi w:val="0"/>
        <w:spacing w:before="120" w:after="283"/>
        <w:jc w:val="left"/>
        <w:rPr/>
      </w:pPr>
      <w:r>
        <w:rPr/>
      </w:r>
    </w:p>
    <w:tbl>
      <w:tblPr>
        <w:tblW w:w="9552"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594"/>
        <w:gridCol w:w="2594"/>
        <w:gridCol w:w="36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36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88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Disclosed in this report any change in the registrant’s internal control over financial reporting that occurred </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registrant’s most recent fiscal quarter (the registrant’s fourth fiscal quarter in the case of an </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annual report) that has materially affected, or is reasonably likely to materially affect, the registrant’s </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internal control over financial reporting; and</w:t>
            </w:r>
          </w:p>
          <w:p>
            <w:pPr>
              <w:pStyle w:val="TableContents"/>
              <w:bidi w:val="0"/>
              <w:spacing w:before="0" w:after="0"/>
              <w:jc w:val="left"/>
              <w:rPr/>
            </w:pPr>
            <w:r>
              <w:rPr/>
            </w:r>
          </w:p>
        </w:tc>
      </w:tr>
    </w:tbl>
    <w:p>
      <w:pPr>
        <w:pStyle w:val="TextBody"/>
        <w:bidi w:val="0"/>
        <w:spacing w:before="120" w:after="283"/>
        <w:jc w:val="left"/>
        <w:rPr/>
      </w:pPr>
      <w:r>
        <w:rPr/>
      </w:r>
    </w:p>
    <w:p>
      <w:pPr>
        <w:pStyle w:val="TextBody"/>
        <w:bidi w:val="0"/>
        <w:spacing w:lineRule="auto" w:line="333"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31.2</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431" w:type="dxa"/>
        <w:jc w:val="left"/>
        <w:tblInd w:w="0" w:type="dxa"/>
        <w:tblLayout w:type="fixed"/>
        <w:tblCellMar>
          <w:top w:w="28" w:type="dxa"/>
          <w:left w:w="28" w:type="dxa"/>
          <w:bottom w:w="28" w:type="dxa"/>
          <w:right w:w="28" w:type="dxa"/>
        </w:tblCellMar>
      </w:tblPr>
      <w:tblGrid>
        <w:gridCol w:w="124"/>
        <w:gridCol w:w="109"/>
        <w:gridCol w:w="109"/>
        <w:gridCol w:w="2655"/>
        <w:gridCol w:w="2655"/>
        <w:gridCol w:w="37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37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0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control over financial reporting, to the registrant’s auditors and the audit committee of the registrant’s board of</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directors (or persons performing the equivalent functions):</w:t>
            </w:r>
          </w:p>
        </w:tc>
      </w:tr>
    </w:tbl>
    <w:p>
      <w:pPr>
        <w:pStyle w:val="TextBody"/>
        <w:bidi w:val="0"/>
        <w:spacing w:before="120" w:after="283"/>
        <w:jc w:val="left"/>
        <w:rPr/>
      </w:pPr>
      <w:r>
        <w:rPr/>
      </w:r>
    </w:p>
    <w:tbl>
      <w:tblPr>
        <w:tblW w:w="947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79"/>
        <w:gridCol w:w="2579"/>
        <w:gridCol w:w="36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880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financial reporting which are reasonably likely to adversely affect the registrant’s ability to record, process,</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summarize and report financial information; and</w:t>
            </w:r>
          </w:p>
        </w:tc>
      </w:tr>
    </w:tbl>
    <w:p>
      <w:pPr>
        <w:pStyle w:val="TextBody"/>
        <w:bidi w:val="0"/>
        <w:spacing w:before="120" w:after="283"/>
        <w:jc w:val="left"/>
        <w:rPr/>
      </w:pPr>
      <w:r>
        <w:rPr/>
      </w:r>
    </w:p>
    <w:tbl>
      <w:tblPr>
        <w:tblW w:w="9296"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523"/>
        <w:gridCol w:w="2523"/>
        <w:gridCol w:w="35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35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86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role in the registrant’s internal control over financial reporting.</w:t>
            </w:r>
          </w:p>
          <w:p>
            <w:pPr>
              <w:pStyle w:val="TableContents"/>
              <w:bidi w:val="0"/>
              <w:spacing w:before="0" w:after="0"/>
              <w:jc w:val="left"/>
              <w:rPr/>
            </w:pPr>
            <w:r>
              <w:rPr/>
            </w:r>
          </w:p>
        </w:tc>
      </w:tr>
    </w:tbl>
    <w:p>
      <w:pPr>
        <w:pStyle w:val="TextBody"/>
        <w:bidi w:val="0"/>
        <w:spacing w:lineRule="auto" w:line="333" w:before="120" w:after="283"/>
        <w:jc w:val="left"/>
        <w:rPr>
          <w:color w:val="000000"/>
        </w:rPr>
      </w:pPr>
      <w:r>
        <w:rPr>
          <w:color w:val="000000"/>
        </w:rPr>
        <w:t> </w:t>
      </w:r>
    </w:p>
    <w:tbl>
      <w:tblPr>
        <w:tblW w:w="5034" w:type="dxa"/>
        <w:jc w:val="left"/>
        <w:tblInd w:w="0" w:type="dxa"/>
        <w:tblLayout w:type="fixed"/>
        <w:tblCellMar>
          <w:top w:w="28" w:type="dxa"/>
          <w:left w:w="28" w:type="dxa"/>
          <w:bottom w:w="28" w:type="dxa"/>
          <w:right w:w="28" w:type="dxa"/>
        </w:tblCellMar>
      </w:tblPr>
      <w:tblGrid>
        <w:gridCol w:w="683"/>
        <w:gridCol w:w="601"/>
        <w:gridCol w:w="605"/>
        <w:gridCol w:w="134"/>
        <w:gridCol w:w="134"/>
        <w:gridCol w:w="136"/>
        <w:gridCol w:w="109"/>
        <w:gridCol w:w="109"/>
        <w:gridCol w:w="109"/>
        <w:gridCol w:w="706"/>
        <w:gridCol w:w="706"/>
        <w:gridCol w:w="1002"/>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28,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Mark Weinswig</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Weinswig</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4"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333" w:before="0" w:after="3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r>
              <w:rPr>
                <w:rFonts w:ascii="Times New Roman;sans-serif" w:hAnsi="Times New Roman;sans-serif"/>
                <w:b w:val="false"/>
                <w:color w:val="000000"/>
                <w:sz w:val="20"/>
              </w:rPr>
              <w:t>)</w:t>
            </w:r>
          </w:p>
        </w:tc>
      </w:tr>
    </w:tbl>
    <w:p>
      <w:pPr>
        <w:pStyle w:val="TextBody"/>
        <w:bidi w:val="0"/>
        <w:spacing w:lineRule="auto" w:line="333" w:before="120" w:after="283"/>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32.1</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color w:val="000000"/>
        </w:rPr>
      </w:pPr>
      <w:r>
        <w:rPr>
          <w:color w:val="000000"/>
        </w:rPr>
        <w:t>  </w:t>
      </w:r>
    </w:p>
    <w:p>
      <w:pPr>
        <w:pStyle w:val="TextBody"/>
        <w:bidi w:val="0"/>
        <w:spacing w:before="0" w:after="0"/>
        <w:jc w:val="right"/>
        <w:rPr/>
      </w:pPr>
      <w:r>
        <w:rPr/>
      </w:r>
    </w:p>
    <w:p>
      <w:pPr>
        <w:pStyle w:val="TextBody"/>
        <w:bidi w:val="0"/>
        <w:spacing w:lineRule="auto" w:line="333"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333"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333"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Annual Report on Form 10-K of Ouster, Inc. (the “Company”) for the period ended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December 31, 2023 as filed with the Securities and Exchange Commission on the date hereof (the “Report”), I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certify, pursuant to 18 U.S.C. § 1350, as adopted pursuant to § 906 of the Sarbanes-Oxley Act of 2002, that:</w:t>
      </w:r>
    </w:p>
    <w:p>
      <w:pPr>
        <w:pStyle w:val="TextBody"/>
        <w:bidi w:val="0"/>
        <w:spacing w:before="0" w:after="0"/>
        <w:jc w:val="left"/>
        <w:rPr/>
      </w:pPr>
      <w:r>
        <w:rPr/>
      </w:r>
    </w:p>
    <w:tbl>
      <w:tblPr>
        <w:tblW w:w="9281"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516"/>
        <w:gridCol w:w="2516"/>
        <w:gridCol w:w="35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35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w:t>
              <w:br/>
              <w:t>of 1934; and</w:t>
            </w:r>
          </w:p>
        </w:tc>
      </w:tr>
    </w:tbl>
    <w:p>
      <w:pPr>
        <w:pStyle w:val="TextBody"/>
        <w:bidi w:val="0"/>
        <w:spacing w:before="120" w:after="283"/>
        <w:jc w:val="left"/>
        <w:rPr/>
      </w:pPr>
      <w:r>
        <w:rPr/>
      </w:r>
    </w:p>
    <w:tbl>
      <w:tblPr>
        <w:tblW w:w="9492"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580"/>
        <w:gridCol w:w="2580"/>
        <w:gridCol w:w="36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36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w:t>
              <w:br/>
              <w:t>results of operations of the Company.</w:t>
            </w:r>
          </w:p>
        </w:tc>
      </w:tr>
    </w:tbl>
    <w:p>
      <w:pPr>
        <w:pStyle w:val="TextBody"/>
        <w:bidi w:val="0"/>
        <w:spacing w:lineRule="auto" w:line="333" w:before="120" w:after="283"/>
        <w:jc w:val="left"/>
        <w:rPr>
          <w:color w:val="000000"/>
        </w:rPr>
      </w:pPr>
      <w:r>
        <w:rPr>
          <w:color w:val="000000"/>
        </w:rPr>
        <w:t> </w:t>
      </w:r>
    </w:p>
    <w:tbl>
      <w:tblPr>
        <w:tblW w:w="6100" w:type="dxa"/>
        <w:jc w:val="left"/>
        <w:tblInd w:w="0" w:type="dxa"/>
        <w:tblLayout w:type="fixed"/>
        <w:tblCellMar>
          <w:top w:w="28" w:type="dxa"/>
          <w:left w:w="28" w:type="dxa"/>
          <w:bottom w:w="28" w:type="dxa"/>
          <w:right w:w="28" w:type="dxa"/>
        </w:tblCellMar>
      </w:tblPr>
      <w:tblGrid>
        <w:gridCol w:w="683"/>
        <w:gridCol w:w="601"/>
        <w:gridCol w:w="605"/>
        <w:gridCol w:w="134"/>
        <w:gridCol w:w="134"/>
        <w:gridCol w:w="136"/>
        <w:gridCol w:w="109"/>
        <w:gridCol w:w="109"/>
        <w:gridCol w:w="109"/>
        <w:gridCol w:w="1020"/>
        <w:gridCol w:w="1020"/>
        <w:gridCol w:w="1440"/>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28,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/s/Angus Pacala</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Angus Pacala</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0"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Co-Founder and Chief Executive Officer </w:t>
            </w:r>
          </w:p>
          <w:p>
            <w:pPr>
              <w:pStyle w:val="TableContents"/>
              <w:bidi w:val="0"/>
              <w:spacing w:lineRule="auto" w:line="333" w:before="0" w:after="3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bl>
    <w:p>
      <w:pPr>
        <w:pStyle w:val="TextBody"/>
        <w:bidi w:val="0"/>
        <w:spacing w:lineRule="auto" w:line="333" w:before="120" w:after="283"/>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32.2</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33"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333"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333"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before="24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Annual Report on Form 10-K of Ouster, Inc. (the “Company”) for the period ended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December 31, 2023 as filed with the Securities and Exchange Commission on the date hereof (the “Report”), I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certify, pursuant to 18 U.S.C. § 1350, as adopted pursuant to § 906 of the Sarbanes-Oxley Act of 2002, that:</w:t>
      </w:r>
    </w:p>
    <w:p>
      <w:pPr>
        <w:pStyle w:val="TextBody"/>
        <w:bidi w:val="0"/>
        <w:spacing w:before="0" w:after="0"/>
        <w:jc w:val="left"/>
        <w:rPr/>
      </w:pPr>
      <w:r>
        <w:rPr/>
      </w:r>
    </w:p>
    <w:tbl>
      <w:tblPr>
        <w:tblW w:w="9281"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516"/>
        <w:gridCol w:w="2516"/>
        <w:gridCol w:w="35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35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w:t>
              <w:br/>
              <w:t>of 1934; and</w:t>
            </w:r>
          </w:p>
        </w:tc>
      </w:tr>
    </w:tbl>
    <w:p>
      <w:pPr>
        <w:pStyle w:val="TextBody"/>
        <w:bidi w:val="0"/>
        <w:spacing w:before="120" w:after="283"/>
        <w:jc w:val="left"/>
        <w:rPr/>
      </w:pPr>
      <w:r>
        <w:rPr/>
      </w:r>
    </w:p>
    <w:tbl>
      <w:tblPr>
        <w:tblW w:w="9492"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580"/>
        <w:gridCol w:w="2580"/>
        <w:gridCol w:w="36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36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w:t>
              <w:br/>
              <w:t>results of operations of the Company.</w:t>
            </w:r>
          </w:p>
        </w:tc>
      </w:tr>
    </w:tbl>
    <w:p>
      <w:pPr>
        <w:pStyle w:val="TextBody"/>
        <w:bidi w:val="0"/>
        <w:spacing w:lineRule="auto" w:line="333" w:before="120" w:after="283"/>
        <w:jc w:val="left"/>
        <w:rPr>
          <w:color w:val="000000"/>
        </w:rPr>
      </w:pPr>
      <w:r>
        <w:rPr>
          <w:color w:val="000000"/>
        </w:rPr>
        <w:t> </w:t>
      </w:r>
    </w:p>
    <w:tbl>
      <w:tblPr>
        <w:tblW w:w="5034" w:type="dxa"/>
        <w:jc w:val="left"/>
        <w:tblInd w:w="0" w:type="dxa"/>
        <w:tblLayout w:type="fixed"/>
        <w:tblCellMar>
          <w:top w:w="28" w:type="dxa"/>
          <w:left w:w="28" w:type="dxa"/>
          <w:bottom w:w="28" w:type="dxa"/>
          <w:right w:w="28" w:type="dxa"/>
        </w:tblCellMar>
      </w:tblPr>
      <w:tblGrid>
        <w:gridCol w:w="683"/>
        <w:gridCol w:w="601"/>
        <w:gridCol w:w="605"/>
        <w:gridCol w:w="134"/>
        <w:gridCol w:w="134"/>
        <w:gridCol w:w="136"/>
        <w:gridCol w:w="109"/>
        <w:gridCol w:w="109"/>
        <w:gridCol w:w="109"/>
        <w:gridCol w:w="706"/>
        <w:gridCol w:w="706"/>
        <w:gridCol w:w="1002"/>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28,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Weinswig</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Weinswig</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4" w:type="dxa"/>
            <w:gridSpan w:val="3"/>
            <w:tcBorders/>
            <w:tcMar>
              <w:top w:w="0" w:type="dxa"/>
              <w:left w:w="0" w:type="dxa"/>
              <w:bottom w:w="0" w:type="dxa"/>
              <w:right w:w="0" w:type="dxa"/>
            </w:tcMar>
            <w:vAlign w:val="center"/>
          </w:tcPr>
          <w:p>
            <w:pPr>
              <w:pStyle w:val="TableContents"/>
              <w:bidi w:val="0"/>
              <w:spacing w:lineRule="auto" w:line="333"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333" w:before="0" w:after="3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p>
        </w:tc>
      </w:tr>
    </w:tbl>
    <w:p>
      <w:pPr>
        <w:pStyle w:val="TextBody"/>
        <w:bidi w:val="0"/>
        <w:spacing w:lineRule="auto" w:line="333" w:before="120" w:after="283"/>
        <w:jc w:val="left"/>
        <w:rPr>
          <w:color w:val="000000"/>
        </w:rPr>
      </w:pPr>
      <w:r>
        <w:rPr>
          <w:color w:val="000000"/>
        </w:rPr>
        <w:t> </w:t>
      </w:r>
    </w:p>
    <w:p>
      <w:pPr>
        <w:pStyle w:val="TextBody"/>
        <w:bidi w:val="0"/>
        <w:spacing w:lineRule="auto" w:line="333" w:before="240" w:after="283"/>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OUSTER, INC. </w:t>
        <w:br/>
        <w:t xml:space="preserve">POLICY FOR RECOVERY OF </w:t>
        <w:br/>
        <w:t>ERRONEOUSLY AWARDED COMPENSATION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Ouster,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adopted this Policy for Recovery of Erroneously Awarded Compensation (the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effective as of October 2, 2023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 xml:space="preserve">). Capitalized terms used in this Policy but not otherwise defined herein are defined in Section 11. </w:t>
      </w:r>
    </w:p>
    <w:p>
      <w:pPr>
        <w:pStyle w:val="TextBody"/>
        <w:bidi w:val="0"/>
        <w:spacing w:lineRule="auto" w:line="240" w:before="0" w:after="240"/>
        <w:ind w:left="0" w:right="0" w:hanging="720"/>
        <w:jc w:val="left"/>
        <w:rPr/>
      </w:pPr>
      <w:r>
        <w:rPr>
          <w:rFonts w:ascii="Times New Roman;sans-serif" w:hAnsi="Times New Roman;sans-serif"/>
          <w:b/>
          <w:color w:val="000000"/>
          <w:sz w:val="24"/>
        </w:rPr>
        <w:t>1.</w:t>
      </w:r>
      <w:r>
        <w:rPr>
          <w:rFonts w:ascii="Times New Roman;sans-serif" w:hAnsi="Times New Roman;sans-serif"/>
          <w:b/>
          <w:color w:val="000000"/>
          <w:sz w:val="24"/>
          <w:u w:val="single"/>
        </w:rPr>
        <w:t>Persons Subject to Policy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shall apply to current and former Officers of the Company. Each Officer shall be required to sign an acknowledgment pursuant to which such Officer will agree to be bound by the terms of, and comply with, this Policy; however, any Officer’s failure to sign any such acknowledgment shall not negate the application of this Policy to the Officer.</w:t>
      </w:r>
    </w:p>
    <w:p>
      <w:pPr>
        <w:pStyle w:val="TextBody"/>
        <w:bidi w:val="0"/>
        <w:spacing w:lineRule="auto" w:line="240" w:before="0" w:after="240"/>
        <w:jc w:val="left"/>
        <w:rPr/>
      </w:pPr>
      <w:r>
        <w:rPr>
          <w:rFonts w:ascii="Times New Roman;sans-serif" w:hAnsi="Times New Roman;sans-serif"/>
          <w:b/>
          <w:color w:val="000000"/>
          <w:sz w:val="24"/>
        </w:rPr>
        <w:t>2.    </w:t>
      </w:r>
      <w:r>
        <w:rPr>
          <w:rFonts w:ascii="Times New Roman;sans-serif" w:hAnsi="Times New Roman;sans-serif"/>
          <w:b/>
          <w:color w:val="000000"/>
          <w:sz w:val="24"/>
          <w:u w:val="single"/>
        </w:rPr>
        <w:t>Compensation Subject to Policy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pStyle w:val="TextBody"/>
        <w:bidi w:val="0"/>
        <w:spacing w:lineRule="auto" w:line="240" w:before="0" w:after="240"/>
        <w:jc w:val="both"/>
        <w:rPr/>
      </w:pPr>
      <w:r>
        <w:rPr>
          <w:rFonts w:ascii="Times New Roman;sans-serif" w:hAnsi="Times New Roman;sans-serif"/>
          <w:b/>
          <w:color w:val="000000"/>
          <w:sz w:val="24"/>
        </w:rPr>
        <w:t>3.    </w:t>
      </w:r>
      <w:r>
        <w:rPr>
          <w:rFonts w:ascii="Times New Roman;sans-serif" w:hAnsi="Times New Roman;sans-serif"/>
          <w:b/>
          <w:color w:val="000000"/>
          <w:sz w:val="24"/>
          <w:u w:val="single"/>
        </w:rPr>
        <w:t>Recovery of Compensation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pStyle w:val="TextBody"/>
        <w:bidi w:val="0"/>
        <w:spacing w:lineRule="auto" w:line="240" w:before="0" w:after="240"/>
        <w:jc w:val="both"/>
        <w:rPr/>
      </w:pPr>
      <w:r>
        <w:rPr>
          <w:rFonts w:ascii="Times New Roman;sans-serif" w:hAnsi="Times New Roman;sans-serif"/>
          <w:b/>
          <w:color w:val="000000"/>
          <w:sz w:val="24"/>
        </w:rPr>
        <w:t>4.    </w:t>
      </w:r>
      <w:r>
        <w:rPr>
          <w:rFonts w:ascii="Times New Roman;sans-serif" w:hAnsi="Times New Roman;sans-serif"/>
          <w:b/>
          <w:color w:val="000000"/>
          <w:sz w:val="24"/>
          <w:u w:val="single"/>
        </w:rPr>
        <w:t>Manner of Recovery; Limitation on Duplicative Recovery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979805"/>
                <wp:effectExtent l="0" t="0" r="0" b="0"/>
                <wp:wrapNone/>
                <wp:docPr id="146" name="Frame138"/>
                <a:graphic xmlns:a="http://schemas.openxmlformats.org/drawingml/2006/main">
                  <a:graphicData uri="http://schemas.microsoft.com/office/word/2010/wordprocessingShape">
                    <wps:wsp>
                      <wps:cNvSpPr txBox="1"/>
                      <wps:spPr>
                        <a:xfrm>
                          <a:off x="0" y="0"/>
                          <a:ext cx="6480175" cy="979805"/>
                        </a:xfrm>
                        <a:prstGeom prst="rect"/>
                        <a:solidFill>
                          <a:srgbClr val="FFFFFF"/>
                        </a:solidFill>
                      </wps:spPr>
                      <wps:txbx>
                        <w:txbxContent>
                          <w:p>
                            <w:pPr>
                              <w:pStyle w:val="TextBody"/>
                              <w:bidi w:val="0"/>
                              <w:spacing w:before="0" w:after="160"/>
                              <w:jc w:val="center"/>
                              <w:rPr/>
                            </w:pPr>
                            <w:r>
                              <w:rPr/>
                            </w:r>
                            <w:r>
                              <w:br w:type="page"/>
                            </w:r>
                          </w:p>
                          <w:p>
                            <w:pPr>
                              <w:pStyle w:val="TextBody"/>
                              <w:bidi w:val="0"/>
                              <w:spacing w:lineRule="auto" w:line="300" w:before="0" w:after="16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bidi w:val="0"/>
                              <w:spacing w:before="0" w:after="160"/>
                              <w:jc w:val="center"/>
                              <w:rPr/>
                            </w:pPr>
                            <w:r>
                              <w:rPr/>
                            </w:r>
                          </w:p>
                          <w:p>
                            <w:pPr>
                              <w:pStyle w:val="TextBody"/>
                              <w:bidi w:val="0"/>
                              <w:spacing w:lineRule="auto" w:line="300" w:before="0" w:after="160"/>
                              <w:jc w:val="left"/>
                              <w:rPr>
                                <w:rFonts w:ascii="Calibri;sans-serif" w:hAnsi="Calibri;sans-serif"/>
                                <w:b w:val="false"/>
                                <w:color w:val="000000"/>
                                <w:sz w:val="16"/>
                              </w:rPr>
                            </w:pPr>
                            <w:r>
                              <w:rPr>
                                <w:rFonts w:ascii="Calibri;sans-serif" w:hAnsi="Calibri;sans-serif"/>
                                <w:b w:val="false"/>
                                <w:color w:val="000000"/>
                                <w:sz w:val="16"/>
                              </w:rPr>
                              <w:t>|US-DOCS\137849666.22||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300" w:before="0" w:after="16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bidi w:val="0"/>
                        <w:spacing w:before="0" w:after="160"/>
                        <w:jc w:val="center"/>
                        <w:rPr/>
                      </w:pPr>
                      <w:r>
                        <w:rPr/>
                      </w:r>
                    </w:p>
                    <w:p>
                      <w:pPr>
                        <w:pStyle w:val="TextBody"/>
                        <w:bidi w:val="0"/>
                        <w:spacing w:lineRule="auto" w:line="300" w:before="0" w:after="160"/>
                        <w:jc w:val="left"/>
                        <w:rPr>
                          <w:rFonts w:ascii="Calibri;sans-serif" w:hAnsi="Calibri;sans-serif"/>
                          <w:b w:val="false"/>
                          <w:color w:val="000000"/>
                          <w:sz w:val="16"/>
                        </w:rPr>
                      </w:pPr>
                      <w:r>
                        <w:rPr>
                          <w:rFonts w:ascii="Calibri;sans-serif" w:hAnsi="Calibri;sans-serif"/>
                          <w:b w:val="false"/>
                          <w:color w:val="000000"/>
                          <w:sz w:val="16"/>
                        </w:rPr>
                        <w:t>|US-DOCS\137849666.22||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Awarded Compensation already recovered by the Company from the recipient of such Erroneously Awarded Compensation may be credited to the amount of Erroneously Awarded Compensation required to be recovered pursuant to this Policy from such person.</w:t>
      </w:r>
    </w:p>
    <w:p>
      <w:pPr>
        <w:pStyle w:val="TextBody"/>
        <w:bidi w:val="0"/>
        <w:spacing w:lineRule="auto" w:line="240" w:before="0" w:after="240"/>
        <w:jc w:val="both"/>
        <w:rPr/>
      </w:pPr>
      <w:r>
        <w:rPr>
          <w:rFonts w:ascii="Times New Roman;sans-serif" w:hAnsi="Times New Roman;sans-serif"/>
          <w:b/>
          <w:color w:val="000000"/>
          <w:sz w:val="24"/>
        </w:rPr>
        <w:t>5.    </w:t>
      </w:r>
      <w:r>
        <w:rPr>
          <w:rFonts w:ascii="Times New Roman;sans-serif" w:hAnsi="Times New Roman;sans-serif"/>
          <w:b/>
          <w:color w:val="000000"/>
          <w:sz w:val="24"/>
          <w:u w:val="single"/>
        </w:rPr>
        <w:t xml:space="preserve">Administration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Policy shall be administered, interpreted and construed by the Committee, which is authorized to make all determinations necessary, appropriate or advisable for such purpose. The Board of Directors of the Company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xml:space="preserve">)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 </w:t>
      </w:r>
    </w:p>
    <w:p>
      <w:pPr>
        <w:pStyle w:val="TextBody"/>
        <w:bidi w:val="0"/>
        <w:spacing w:lineRule="auto" w:line="240" w:before="0" w:after="240"/>
        <w:jc w:val="both"/>
        <w:rPr/>
      </w:pPr>
      <w:r>
        <w:rPr>
          <w:rFonts w:ascii="Times New Roman;sans-serif" w:hAnsi="Times New Roman;sans-serif"/>
          <w:b/>
          <w:color w:val="000000"/>
          <w:sz w:val="24"/>
        </w:rPr>
        <w:t>6.    </w:t>
      </w:r>
      <w:r>
        <w:rPr>
          <w:rFonts w:ascii="Times New Roman;sans-serif" w:hAnsi="Times New Roman;sans-serif"/>
          <w:b/>
          <w:color w:val="000000"/>
          <w:sz w:val="24"/>
          <w:u w:val="single"/>
        </w:rPr>
        <w:t>Interpretation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 </w:t>
      </w:r>
    </w:p>
    <w:p>
      <w:pPr>
        <w:pStyle w:val="TextBody"/>
        <w:bidi w:val="0"/>
        <w:spacing w:lineRule="auto" w:line="240" w:before="0" w:after="240"/>
        <w:jc w:val="both"/>
        <w:rPr/>
      </w:pPr>
      <w:r>
        <w:rPr>
          <w:rFonts w:ascii="Times New Roman;sans-serif" w:hAnsi="Times New Roman;sans-serif"/>
          <w:b/>
          <w:color w:val="000000"/>
          <w:sz w:val="24"/>
        </w:rPr>
        <w:t>7.    </w:t>
      </w:r>
      <w:r>
        <w:rPr>
          <w:rFonts w:ascii="Times New Roman;sans-serif" w:hAnsi="Times New Roman;sans-serif"/>
          <w:b/>
          <w:color w:val="000000"/>
          <w:sz w:val="24"/>
          <w:u w:val="single"/>
        </w:rPr>
        <w:t>No Indemnification; No Liability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pStyle w:val="TextBody"/>
        <w:bidi w:val="0"/>
        <w:spacing w:lineRule="auto" w:line="240" w:before="0" w:after="240"/>
        <w:jc w:val="both"/>
        <w:rPr/>
      </w:pPr>
      <w:r>
        <w:rPr>
          <w:rFonts w:ascii="Times New Roman;sans-serif" w:hAnsi="Times New Roman;sans-serif"/>
          <w:b/>
          <w:color w:val="000000"/>
          <w:sz w:val="24"/>
        </w:rPr>
        <w:t>8.    </w:t>
      </w:r>
      <w:r>
        <w:rPr>
          <w:rFonts w:ascii="Times New Roman;sans-serif" w:hAnsi="Times New Roman;sans-serif"/>
          <w:b/>
          <w:color w:val="000000"/>
          <w:sz w:val="24"/>
          <w:u w:val="single"/>
        </w:rPr>
        <w:t>Application; Enforceability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sans-serif" w:hAnsi="Times New Roman;sans-serif"/>
          <w:b/>
          <w:i/>
          <w:color w:val="000000"/>
          <w:sz w:val="24"/>
        </w:rPr>
        <w:t>Other Recovery Arrangements</w:t>
      </w:r>
      <w:r>
        <w:rPr>
          <w:color w:val="000000"/>
        </w:rPr>
        <w:t>”</w:t>
      </w:r>
      <w:r>
        <w:rPr>
          <w:rFonts w:ascii="Times New Roman;sans-serif" w:hAnsi="Times New Roman;sans-serif"/>
          <w:b w:val="false"/>
          <w:color w:val="000000"/>
          <w:sz w:val="24"/>
        </w:rPr>
        <w:t>). The remedy specified in this Policy shall not be exclusive and shall be in addition to every other right or remedy at law or in equity that may be available to the Company or an affiliate of the Company.</w:t>
      </w:r>
    </w:p>
    <w:p>
      <w:pPr>
        <w:pStyle w:val="TextBody"/>
        <w:bidi w:val="0"/>
        <w:spacing w:lineRule="auto" w:line="240" w:before="0" w:after="240"/>
        <w:jc w:val="both"/>
        <w:rPr/>
      </w:pPr>
      <w:r>
        <w:rPr>
          <w:rFonts w:ascii="Times New Roman;sans-serif" w:hAnsi="Times New Roman;sans-serif"/>
          <w:b/>
          <w:color w:val="000000"/>
          <w:sz w:val="24"/>
        </w:rPr>
        <w:t>9.    </w:t>
      </w:r>
      <w:r>
        <w:rPr>
          <w:rFonts w:ascii="Times New Roman;sans-serif" w:hAnsi="Times New Roman;sans-serif"/>
          <w:b/>
          <w:color w:val="000000"/>
          <w:sz w:val="24"/>
          <w:u w:val="single"/>
        </w:rPr>
        <w:t>Severability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provisions in this Policy are intended to be applied to the fullest extent of the law; provided, however, to the extent that any provision of this Policy is found to be unenforceable or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979805"/>
                <wp:effectExtent l="0" t="0" r="0" b="0"/>
                <wp:wrapNone/>
                <wp:docPr id="147" name="Frame139"/>
                <a:graphic xmlns:a="http://schemas.openxmlformats.org/drawingml/2006/main">
                  <a:graphicData uri="http://schemas.microsoft.com/office/word/2010/wordprocessingShape">
                    <wps:wsp>
                      <wps:cNvSpPr txBox="1"/>
                      <wps:spPr>
                        <a:xfrm>
                          <a:off x="0" y="0"/>
                          <a:ext cx="6480175" cy="979805"/>
                        </a:xfrm>
                        <a:prstGeom prst="rect"/>
                        <a:solidFill>
                          <a:srgbClr val="FFFFFF"/>
                        </a:solidFill>
                      </wps:spPr>
                      <wps:txbx>
                        <w:txbxContent>
                          <w:p>
                            <w:pPr>
                              <w:pStyle w:val="TextBody"/>
                              <w:bidi w:val="0"/>
                              <w:spacing w:before="0" w:after="160"/>
                              <w:jc w:val="center"/>
                              <w:rPr/>
                            </w:pPr>
                            <w:r>
                              <w:rPr/>
                            </w:r>
                            <w:r>
                              <w:br w:type="page"/>
                            </w:r>
                          </w:p>
                          <w:p>
                            <w:pPr>
                              <w:pStyle w:val="TextBody"/>
                              <w:bidi w:val="0"/>
                              <w:spacing w:lineRule="auto" w:line="300" w:before="0" w:after="16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160"/>
                              <w:jc w:val="left"/>
                              <w:rPr/>
                            </w:pPr>
                            <w:r>
                              <w:rPr/>
                            </w:r>
                          </w:p>
                          <w:p>
                            <w:pPr>
                              <w:pStyle w:val="TextBody"/>
                              <w:bidi w:val="0"/>
                              <w:spacing w:lineRule="auto" w:line="300" w:before="0" w:after="160"/>
                              <w:jc w:val="left"/>
                              <w:rPr/>
                            </w:pPr>
                            <w:r>
                              <w:rPr>
                                <w:rFonts w:ascii="Times New Roman;sans-serif" w:hAnsi="Times New Roman;sans-serif"/>
                                <w:b w:val="false"/>
                                <w:color w:val="000000"/>
                                <w:sz w:val="16"/>
                              </w:rPr>
                              <w:t>|US-DOCS\137849666.22</w:t>
                            </w:r>
                            <w:r>
                              <w:rPr>
                                <w:rFonts w:ascii="Calibri;sans-serif" w:hAnsi="Calibri;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300" w:before="0" w:after="16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160"/>
                        <w:jc w:val="left"/>
                        <w:rPr/>
                      </w:pPr>
                      <w:r>
                        <w:rPr/>
                      </w:r>
                    </w:p>
                    <w:p>
                      <w:pPr>
                        <w:pStyle w:val="TextBody"/>
                        <w:bidi w:val="0"/>
                        <w:spacing w:lineRule="auto" w:line="300" w:before="0" w:after="160"/>
                        <w:jc w:val="left"/>
                        <w:rPr/>
                      </w:pPr>
                      <w:r>
                        <w:rPr>
                          <w:rFonts w:ascii="Times New Roman;sans-serif" w:hAnsi="Times New Roman;sans-serif"/>
                          <w:b w:val="false"/>
                          <w:color w:val="000000"/>
                          <w:sz w:val="16"/>
                        </w:rPr>
                        <w:t>|US-DOCS\137849666.22</w:t>
                      </w:r>
                      <w:r>
                        <w:rPr>
                          <w:rFonts w:ascii="Calibri;sans-serif" w:hAnsi="Calibri;sans-serif"/>
                          <w:b w:val="false"/>
                          <w:color w:val="000000"/>
                          <w:sz w:val="16"/>
                        </w:rPr>
                        <w:t>||</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invalid under any applicable law, such provision will be applied to the maximum extent permitted, and shall automatically be deemed amended in a manner consistent with its objectives to the extent necessary to conform to any limitations required under applicable law. </w:t>
      </w:r>
    </w:p>
    <w:p>
      <w:pPr>
        <w:pStyle w:val="TextBody"/>
        <w:bidi w:val="0"/>
        <w:spacing w:lineRule="auto" w:line="240" w:before="0" w:after="240"/>
        <w:jc w:val="both"/>
        <w:rPr/>
      </w:pPr>
      <w:r>
        <w:rPr>
          <w:rFonts w:ascii="Times New Roman;sans-serif" w:hAnsi="Times New Roman;sans-serif"/>
          <w:b/>
          <w:color w:val="000000"/>
          <w:sz w:val="24"/>
        </w:rPr>
        <w:t>10.    </w:t>
      </w:r>
      <w:r>
        <w:rPr>
          <w:rFonts w:ascii="Times New Roman;sans-serif" w:hAnsi="Times New Roman;sans-serif"/>
          <w:b/>
          <w:color w:val="000000"/>
          <w:sz w:val="24"/>
          <w:u w:val="single"/>
        </w:rPr>
        <w:t>Amendment and Termination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pStyle w:val="TextBody"/>
        <w:bidi w:val="0"/>
        <w:spacing w:lineRule="auto" w:line="300" w:before="0" w:after="160"/>
        <w:jc w:val="left"/>
        <w:rPr/>
      </w:pPr>
      <w:r>
        <w:rPr>
          <w:rFonts w:ascii="Times New Roman;sans-serif" w:hAnsi="Times New Roman;sans-serif"/>
          <w:b/>
          <w:color w:val="000000"/>
          <w:sz w:val="24"/>
        </w:rPr>
        <w:t>11.    </w:t>
      </w:r>
      <w:r>
        <w:rPr>
          <w:rFonts w:ascii="Times New Roman;sans-serif" w:hAnsi="Times New Roman;sans-serif"/>
          <w:b/>
          <w:color w:val="000000"/>
          <w:sz w:val="24"/>
          <w:u w:val="single"/>
        </w:rPr>
        <w:t>Definitions</w:t>
      </w:r>
    </w:p>
    <w:p>
      <w:pPr>
        <w:pStyle w:val="TextBody"/>
        <w:bidi w:val="0"/>
        <w:spacing w:lineRule="auto" w:line="300" w:before="0" w:after="160"/>
        <w:jc w:val="both"/>
        <w:rPr/>
      </w:pPr>
      <w:r>
        <w:rPr>
          <w:color w:val="000000"/>
        </w:rPr>
        <w:t>    “</w:t>
      </w:r>
      <w:r>
        <w:rPr>
          <w:rFonts w:ascii="Times New Roman;sans-serif" w:hAnsi="Times New Roman;sans-serif"/>
          <w:b/>
          <w:i/>
          <w:color w:val="000000"/>
          <w:sz w:val="24"/>
        </w:rPr>
        <w:t>Applicable Rules</w:t>
      </w:r>
      <w:r>
        <w:rPr>
          <w:color w:val="000000"/>
        </w:rPr>
        <w:t xml:space="preserve">” </w:t>
      </w:r>
      <w:r>
        <w:rPr>
          <w:rFonts w:ascii="Times New Roman;sans-serif" w:hAnsi="Times New Roman;sans-serif"/>
          <w:b w:val="false"/>
          <w:color w:val="000000"/>
          <w:sz w:val="24"/>
        </w:rPr>
        <w:t>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4"/>
        </w:rPr>
        <w:t>Committee</w:t>
      </w:r>
      <w:r>
        <w:rPr>
          <w:color w:val="000000"/>
        </w:rPr>
        <w:t xml:space="preserve">” </w:t>
      </w:r>
      <w:r>
        <w:rPr>
          <w:rFonts w:ascii="Times New Roman;sans-serif" w:hAnsi="Times New Roman;sans-serif"/>
          <w:b w:val="false"/>
          <w:color w:val="000000"/>
          <w:sz w:val="24"/>
        </w:rPr>
        <w:t>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4"/>
        </w:rPr>
        <w:t>Erroneously Awarded Compensation</w:t>
      </w:r>
      <w:r>
        <w:rPr>
          <w:color w:val="000000"/>
        </w:rPr>
        <w:t xml:space="preserve">” </w:t>
      </w:r>
      <w:r>
        <w:rPr>
          <w:rFonts w:ascii="Times New Roman;sans-serif" w:hAnsi="Times New Roman;sans-serif"/>
          <w:b w:val="false"/>
          <w:color w:val="000000"/>
          <w:sz w:val="24"/>
        </w:rPr>
        <w:t xml:space="preserve">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4"/>
        </w:rPr>
        <w:t>Exchange Act</w:t>
      </w:r>
      <w:r>
        <w:rPr>
          <w:color w:val="000000"/>
        </w:rPr>
        <w:t xml:space="preserve">” </w:t>
      </w:r>
      <w:r>
        <w:rPr>
          <w:rFonts w:ascii="Times New Roman;sans-serif" w:hAnsi="Times New Roman;sans-serif"/>
          <w:b w:val="false"/>
          <w:color w:val="000000"/>
          <w:sz w:val="24"/>
        </w:rPr>
        <w:t>means the Securities Exchange Act of 1934, as amended.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4"/>
        </w:rPr>
        <w:t>Financial Reporting Measure</w:t>
      </w:r>
      <w:r>
        <w:rPr>
          <w:color w:val="000000"/>
        </w:rPr>
        <w:t xml:space="preserve">” </w:t>
      </w:r>
      <w:r>
        <w:rPr>
          <w:rFonts w:ascii="Times New Roman;sans-serif" w:hAnsi="Times New Roman;sans-serif"/>
          <w:b w:val="false"/>
          <w:color w:val="000000"/>
          <w:sz w:val="24"/>
        </w:rPr>
        <w:t xml:space="preserve">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4"/>
        </w:rPr>
        <w:t>GAAP</w:t>
      </w:r>
      <w:r>
        <w:rPr>
          <w:color w:val="000000"/>
        </w:rPr>
        <w:t xml:space="preserve">” </w:t>
      </w:r>
      <w:r>
        <w:rPr>
          <w:rFonts w:ascii="Times New Roman;sans-serif" w:hAnsi="Times New Roman;sans-serif"/>
          <w:b w:val="false"/>
          <w:color w:val="000000"/>
          <w:sz w:val="24"/>
        </w:rPr>
        <w:t>means United States generally accepted accounting principles.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4"/>
        </w:rPr>
        <w:t>IFRS</w:t>
      </w:r>
      <w:r>
        <w:rPr>
          <w:color w:val="000000"/>
        </w:rPr>
        <w:t xml:space="preserve">” </w:t>
      </w:r>
      <w:r>
        <w:rPr>
          <w:rFonts w:ascii="Times New Roman;sans-serif" w:hAnsi="Times New Roman;sans-serif"/>
          <w:b w:val="false"/>
          <w:color w:val="000000"/>
          <w:sz w:val="24"/>
        </w:rPr>
        <w:t>means international financial reporting standards as adopted by the International Accounting Standards Board.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4"/>
        </w:rPr>
        <w:t>Impracticable</w:t>
      </w:r>
      <w:r>
        <w:rPr>
          <w:color w:val="000000"/>
        </w:rPr>
        <w:t xml:space="preserve">” </w:t>
      </w:r>
      <w:r>
        <w:rPr>
          <w:rFonts w:ascii="Times New Roman;sans-serif" w:hAnsi="Times New Roman;sans-serif"/>
          <w:b w:val="false"/>
          <w:color w:val="000000"/>
          <w:sz w:val="24"/>
        </w:rPr>
        <w:t xml:space="preserve">means (a)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979805"/>
                <wp:effectExtent l="0" t="0" r="0" b="0"/>
                <wp:wrapNone/>
                <wp:docPr id="148" name="Frame140"/>
                <a:graphic xmlns:a="http://schemas.openxmlformats.org/drawingml/2006/main">
                  <a:graphicData uri="http://schemas.microsoft.com/office/word/2010/wordprocessingShape">
                    <wps:wsp>
                      <wps:cNvSpPr txBox="1"/>
                      <wps:spPr>
                        <a:xfrm>
                          <a:off x="0" y="0"/>
                          <a:ext cx="6480175" cy="979805"/>
                        </a:xfrm>
                        <a:prstGeom prst="rect"/>
                        <a:solidFill>
                          <a:srgbClr val="FFFFFF"/>
                        </a:solidFill>
                      </wps:spPr>
                      <wps:txbx>
                        <w:txbxContent>
                          <w:p>
                            <w:pPr>
                              <w:pStyle w:val="TextBody"/>
                              <w:bidi w:val="0"/>
                              <w:spacing w:before="0" w:after="160"/>
                              <w:jc w:val="center"/>
                              <w:rPr/>
                            </w:pPr>
                            <w:r>
                              <w:rPr/>
                            </w:r>
                            <w:r>
                              <w:br w:type="page"/>
                            </w:r>
                          </w:p>
                          <w:p>
                            <w:pPr>
                              <w:pStyle w:val="TextBody"/>
                              <w:bidi w:val="0"/>
                              <w:spacing w:lineRule="auto" w:line="300" w:before="0" w:after="16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160"/>
                              <w:jc w:val="left"/>
                              <w:rPr/>
                            </w:pPr>
                            <w:r>
                              <w:rPr/>
                            </w:r>
                          </w:p>
                          <w:p>
                            <w:pPr>
                              <w:pStyle w:val="TextBody"/>
                              <w:bidi w:val="0"/>
                              <w:spacing w:lineRule="auto" w:line="300" w:before="0" w:after="160"/>
                              <w:jc w:val="left"/>
                              <w:rPr/>
                            </w:pPr>
                            <w:r>
                              <w:rPr>
                                <w:rFonts w:ascii="Times New Roman;sans-serif" w:hAnsi="Times New Roman;sans-serif"/>
                                <w:b w:val="false"/>
                                <w:color w:val="000000"/>
                                <w:sz w:val="16"/>
                              </w:rPr>
                              <w:t>|US-DOCS\137849666.22</w:t>
                            </w:r>
                            <w:r>
                              <w:rPr>
                                <w:rFonts w:ascii="Calibri;sans-serif" w:hAnsi="Calibri;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300" w:before="0" w:after="16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160"/>
                        <w:jc w:val="left"/>
                        <w:rPr/>
                      </w:pPr>
                      <w:r>
                        <w:rPr/>
                      </w:r>
                    </w:p>
                    <w:p>
                      <w:pPr>
                        <w:pStyle w:val="TextBody"/>
                        <w:bidi w:val="0"/>
                        <w:spacing w:lineRule="auto" w:line="300" w:before="0" w:after="160"/>
                        <w:jc w:val="left"/>
                        <w:rPr/>
                      </w:pPr>
                      <w:r>
                        <w:rPr>
                          <w:rFonts w:ascii="Times New Roman;sans-serif" w:hAnsi="Times New Roman;sans-serif"/>
                          <w:b w:val="false"/>
                          <w:color w:val="000000"/>
                          <w:sz w:val="16"/>
                        </w:rPr>
                        <w:t>|US-DOCS\137849666.22</w:t>
                      </w:r>
                      <w:r>
                        <w:rPr>
                          <w:rFonts w:ascii="Calibri;sans-serif" w:hAnsi="Calibri;sans-serif"/>
                          <w:b w:val="false"/>
                          <w:color w:val="000000"/>
                          <w:sz w:val="16"/>
                        </w:rPr>
                        <w:t>||</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4"/>
        </w:rPr>
        <w:t>Incentive-Based Compensation</w:t>
      </w:r>
      <w:r>
        <w:rPr>
          <w:color w:val="000000"/>
        </w:rPr>
        <w:t xml:space="preserve">” </w:t>
      </w:r>
      <w:r>
        <w:rPr>
          <w:rFonts w:ascii="Times New Roman;sans-serif" w:hAnsi="Times New Roman;sans-serif"/>
          <w:b w:val="false"/>
          <w:color w:val="000000"/>
          <w:sz w:val="24"/>
        </w:rPr>
        <w:t xml:space="preserve">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4"/>
        </w:rPr>
        <w:t>Officer</w:t>
      </w:r>
      <w:r>
        <w:rPr>
          <w:color w:val="000000"/>
        </w:rPr>
        <w:t xml:space="preserve">” </w:t>
      </w:r>
      <w:r>
        <w:rPr>
          <w:rFonts w:ascii="Times New Roman;sans-serif" w:hAnsi="Times New Roman;sans-serif"/>
          <w:b w:val="false"/>
          <w:color w:val="000000"/>
          <w:sz w:val="24"/>
        </w:rPr>
        <w:t>means each person who serves as an executive officer of the Company, as defined in Rule 10D-1(d) under the Exchange Act.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4"/>
        </w:rPr>
        <w:t>Restatement</w:t>
      </w:r>
      <w:r>
        <w:rPr>
          <w:color w:val="000000"/>
        </w:rPr>
        <w:t xml:space="preserve">” </w:t>
      </w:r>
      <w:r>
        <w:rPr>
          <w:rFonts w:ascii="Times New Roman;sans-serif" w:hAnsi="Times New Roman;sans-serif"/>
          <w:b w:val="false"/>
          <w:color w:val="000000"/>
          <w:sz w:val="24"/>
        </w:rPr>
        <w:t>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4"/>
        </w:rPr>
        <w:t>Three-Year Period</w:t>
      </w:r>
      <w:r>
        <w:rPr>
          <w:color w:val="000000"/>
        </w:rPr>
        <w:t xml:space="preserve">” </w:t>
      </w:r>
      <w:r>
        <w:rPr>
          <w:rFonts w:ascii="Times New Roman;sans-serif" w:hAnsi="Times New Roman;sans-serif"/>
          <w:b w:val="false"/>
          <w:color w:val="000000"/>
          <w:sz w:val="24"/>
        </w:rPr>
        <w:t>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w:t>
      </w:r>
      <w:r>
        <w:rPr>
          <w:color w:val="000000"/>
        </w:rPr>
        <w:t xml:space="preserve"> </w:t>
      </w:r>
      <w:r>
        <w:rPr>
          <w:rFonts w:ascii="Times New Roman;sans-serif" w:hAnsi="Times New Roman;sans-serif"/>
          <w:b w:val="false"/>
          <w:color w:val="000000"/>
          <w:sz w:val="24"/>
        </w:rPr>
        <w:t>The “Three-Year Period” also includes any transition period (that results from a change in the Company’s fiscal year) within or immediately following the three completed fiscal years identified in the preceding sentence.</w:t>
      </w:r>
      <w:r>
        <w:rPr>
          <w:color w:val="000000"/>
        </w:rPr>
        <w:t xml:space="preserve"> </w:t>
      </w:r>
      <w:r>
        <w:rPr>
          <w:rFonts w:ascii="Times New Roman;sans-serif" w:hAnsi="Times New Roman;sans-serif"/>
          <w:b w:val="false"/>
          <w:color w:val="000000"/>
          <w:sz w:val="24"/>
        </w:rPr>
        <w:t>However, a transition period between the last day of the Company’s previous fiscal year end and the first day of its new fiscal year that comprises a period of nine to 12 months shall be deemed a completed fiscal year.</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979805"/>
                <wp:effectExtent l="0" t="0" r="0" b="0"/>
                <wp:wrapNone/>
                <wp:docPr id="149" name="Frame141"/>
                <a:graphic xmlns:a="http://schemas.openxmlformats.org/drawingml/2006/main">
                  <a:graphicData uri="http://schemas.microsoft.com/office/word/2010/wordprocessingShape">
                    <wps:wsp>
                      <wps:cNvSpPr txBox="1"/>
                      <wps:spPr>
                        <a:xfrm>
                          <a:off x="0" y="0"/>
                          <a:ext cx="6480175" cy="979805"/>
                        </a:xfrm>
                        <a:prstGeom prst="rect"/>
                        <a:solidFill>
                          <a:srgbClr val="FFFFFF"/>
                        </a:solidFill>
                      </wps:spPr>
                      <wps:txbx>
                        <w:txbxContent>
                          <w:p>
                            <w:pPr>
                              <w:pStyle w:val="TextBody"/>
                              <w:bidi w:val="0"/>
                              <w:spacing w:before="0" w:after="160"/>
                              <w:jc w:val="center"/>
                              <w:rPr/>
                            </w:pPr>
                            <w:r>
                              <w:rPr/>
                            </w:r>
                            <w:r>
                              <w:br w:type="page"/>
                            </w:r>
                          </w:p>
                          <w:p>
                            <w:pPr>
                              <w:pStyle w:val="TextBody"/>
                              <w:bidi w:val="0"/>
                              <w:spacing w:lineRule="auto" w:line="300" w:before="0" w:after="16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160"/>
                              <w:jc w:val="left"/>
                              <w:rPr/>
                            </w:pPr>
                            <w:r>
                              <w:rPr/>
                            </w:r>
                          </w:p>
                          <w:p>
                            <w:pPr>
                              <w:pStyle w:val="TextBody"/>
                              <w:bidi w:val="0"/>
                              <w:spacing w:lineRule="auto" w:line="300" w:before="0" w:after="160"/>
                              <w:jc w:val="left"/>
                              <w:rPr/>
                            </w:pPr>
                            <w:r>
                              <w:rPr>
                                <w:rFonts w:ascii="Times New Roman;sans-serif" w:hAnsi="Times New Roman;sans-serif"/>
                                <w:b w:val="false"/>
                                <w:color w:val="000000"/>
                                <w:sz w:val="16"/>
                              </w:rPr>
                              <w:t>|US-DOCS\137849666.22</w:t>
                            </w:r>
                            <w:r>
                              <w:rPr>
                                <w:rFonts w:ascii="Calibri;sans-serif" w:hAnsi="Calibri;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300" w:before="0" w:after="16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160"/>
                        <w:jc w:val="left"/>
                        <w:rPr/>
                      </w:pPr>
                      <w:r>
                        <w:rPr/>
                      </w:r>
                    </w:p>
                    <w:p>
                      <w:pPr>
                        <w:pStyle w:val="TextBody"/>
                        <w:bidi w:val="0"/>
                        <w:spacing w:lineRule="auto" w:line="300" w:before="0" w:after="160"/>
                        <w:jc w:val="left"/>
                        <w:rPr/>
                      </w:pPr>
                      <w:r>
                        <w:rPr>
                          <w:rFonts w:ascii="Times New Roman;sans-serif" w:hAnsi="Times New Roman;sans-serif"/>
                          <w:b w:val="false"/>
                          <w:color w:val="000000"/>
                          <w:sz w:val="16"/>
                        </w:rPr>
                        <w:t>|US-DOCS\137849666.22</w:t>
                      </w:r>
                      <w:r>
                        <w:rPr>
                          <w:rFonts w:ascii="Calibri;sans-serif" w:hAnsi="Calibri;sans-serif"/>
                          <w:b w:val="false"/>
                          <w:color w:val="000000"/>
                          <w:sz w:val="16"/>
                        </w:rPr>
                        <w:t>||</w:t>
                      </w:r>
                    </w:p>
                  </w:txbxContent>
                </v:textbox>
                <w10:wrap type="none"/>
              </v:rect>
            </w:pict>
          </mc:Fallback>
        </mc:AlternateContent>
      </w:r>
    </w:p>
    <w:p>
      <w:pPr>
        <w:pStyle w:val="TextBody"/>
        <w:bidi w:val="0"/>
        <w:spacing w:before="0" w:after="240"/>
        <w:jc w:val="both"/>
        <w:rPr/>
      </w:pPr>
      <w:r>
        <w:rPr/>
      </w:r>
    </w:p>
    <w:p>
      <w:pPr>
        <w:pStyle w:val="TextBody"/>
        <w:bidi w:val="0"/>
        <w:spacing w:lineRule="auto" w:line="300" w:before="0" w:after="160"/>
        <w:jc w:val="center"/>
        <w:rPr>
          <w:rFonts w:ascii="Times New Roman;sans-serif" w:hAnsi="Times New Roman;sans-serif"/>
          <w:b/>
          <w:color w:val="000000"/>
          <w:sz w:val="24"/>
        </w:rPr>
      </w:pPr>
      <w:r>
        <w:rPr>
          <w:rFonts w:ascii="Times New Roman;sans-serif" w:hAnsi="Times New Roman;sans-serif"/>
          <w:b/>
          <w:color w:val="000000"/>
          <w:sz w:val="24"/>
        </w:rPr>
        <w:t>ACKNOWLEDGMENT AND CONSENT TO OUSTER, INC.</w:t>
        <w:br/>
        <w:t>POLICY FOR RECOVERY OF ERRONEOUSLY AWARDED COMPENSATION</w:t>
      </w:r>
    </w:p>
    <w:p>
      <w:pPr>
        <w:pStyle w:val="TextBody"/>
        <w:bidi w:val="0"/>
        <w:spacing w:lineRule="auto" w:line="300" w:before="0" w:after="160"/>
        <w:jc w:val="both"/>
        <w:rPr/>
      </w:pPr>
      <w:r>
        <w:rPr>
          <w:rFonts w:ascii="Times New Roman;sans-serif" w:hAnsi="Times New Roman;sans-serif"/>
          <w:b/>
          <w:color w:val="000000"/>
          <w:sz w:val="24"/>
        </w:rPr>
        <w:br/>
      </w:r>
      <w:r>
        <w:rPr>
          <w:rFonts w:ascii="Times New Roman;sans-serif" w:hAnsi="Times New Roman;sans-serif"/>
          <w:b w:val="false"/>
          <w:color w:val="000000"/>
          <w:sz w:val="24"/>
        </w:rPr>
        <w:t>The undersigned has received a copy of the Policy for Recovery of Erroneously Awarded Compensation (the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adopted by Ouster,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w:t>
      </w:r>
    </w:p>
    <w:p>
      <w:pPr>
        <w:pStyle w:val="TextBody"/>
        <w:bidi w:val="0"/>
        <w:spacing w:lineRule="auto" w:line="300"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For good and valuable consideration, the receipt of which is acknowledged, the undersigned agrees to the terms of the Policy and agrees that compensation received by the undersigned may be subject to reduction, cancellation, forfeiture and/or recoupment to the extent necessary to comply with the Policy, notwithstanding any other agreement to the contrary. The undersigned further acknowledges and agrees that the undersigned is not entitled to indemnification in connection with any enforcement of the Policy and expressly waives any rights to such indemnification under the Company’s organizational documents or otherwise.</w:t>
      </w:r>
    </w:p>
    <w:p>
      <w:pPr>
        <w:pStyle w:val="TextBody"/>
        <w:bidi w:val="0"/>
        <w:spacing w:before="0" w:after="160"/>
        <w:ind w:left="0" w:right="0" w:firstLine="720"/>
        <w:jc w:val="both"/>
        <w:rPr/>
      </w:pPr>
      <w:r>
        <w:rPr/>
      </w:r>
    </w:p>
    <w:p>
      <w:pPr>
        <w:pStyle w:val="TextBody"/>
        <w:bidi w:val="0"/>
        <w:spacing w:before="0" w:after="160"/>
        <w:ind w:left="0" w:right="0" w:firstLine="720"/>
        <w:jc w:val="both"/>
        <w:rPr/>
      </w:pPr>
      <w:r>
        <w:rPr/>
      </w:r>
    </w:p>
    <w:tbl>
      <w:tblPr>
        <w:tblW w:w="7350" w:type="dxa"/>
        <w:jc w:val="left"/>
        <w:tblInd w:w="0" w:type="dxa"/>
        <w:tblLayout w:type="fixed"/>
        <w:tblCellMar>
          <w:top w:w="28" w:type="dxa"/>
          <w:left w:w="28" w:type="dxa"/>
          <w:bottom w:w="28" w:type="dxa"/>
          <w:right w:w="28" w:type="dxa"/>
        </w:tblCellMar>
      </w:tblPr>
      <w:tblGrid>
        <w:gridCol w:w="870"/>
        <w:gridCol w:w="761"/>
        <w:gridCol w:w="769"/>
        <w:gridCol w:w="1446"/>
        <w:gridCol w:w="1446"/>
        <w:gridCol w:w="2058"/>
      </w:tblGrid>
      <w:tr>
        <w:trPr/>
        <w:tc>
          <w:tcPr>
            <w:tcW w:w="87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p>
            <w:pPr>
              <w:pStyle w:val="TableContents"/>
              <w:bidi w:val="0"/>
              <w:spacing w:lineRule="auto" w:line="300"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4950"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w:t>
            </w:r>
          </w:p>
          <w:p>
            <w:pPr>
              <w:pStyle w:val="TableContents"/>
              <w:bidi w:val="0"/>
              <w:spacing w:lineRule="auto" w:line="300"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Signature</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w:t>
            </w:r>
          </w:p>
          <w:p>
            <w:pPr>
              <w:pStyle w:val="TableContents"/>
              <w:bidi w:val="0"/>
              <w:spacing w:lineRule="auto" w:line="300"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w:t>
            </w:r>
          </w:p>
          <w:p>
            <w:pPr>
              <w:pStyle w:val="TableContents"/>
              <w:bidi w:val="0"/>
              <w:spacing w:lineRule="auto" w:line="300"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tc>
      </w:tr>
    </w:tbl>
    <w:p>
      <w:pPr>
        <w:pStyle w:val="TextBody"/>
        <w:bidi w:val="0"/>
        <w:spacing w:before="0" w:after="240"/>
        <w:jc w:val="center"/>
        <w:rPr/>
      </w:pPr>
      <w:r>
        <w:rPr/>
      </w:r>
    </w:p>
    <w:p>
      <w:pPr>
        <w:pStyle w:val="TextBody"/>
        <w:bidi w:val="0"/>
        <w:spacing w:before="0" w:after="240"/>
        <w:ind w:left="0" w:right="0" w:firstLine="7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979805"/>
                <wp:effectExtent l="0" t="0" r="0" b="0"/>
                <wp:wrapNone/>
                <wp:docPr id="150" name="Frame142"/>
                <a:graphic xmlns:a="http://schemas.openxmlformats.org/drawingml/2006/main">
                  <a:graphicData uri="http://schemas.microsoft.com/office/word/2010/wordprocessingShape">
                    <wps:wsp>
                      <wps:cNvSpPr txBox="1"/>
                      <wps:spPr>
                        <a:xfrm>
                          <a:off x="0" y="0"/>
                          <a:ext cx="6480175" cy="979805"/>
                        </a:xfrm>
                        <a:prstGeom prst="rect"/>
                        <a:solidFill>
                          <a:srgbClr val="FFFFFF"/>
                        </a:solidFill>
                      </wps:spPr>
                      <wps:txbx>
                        <w:txbxContent>
                          <w:p>
                            <w:pPr>
                              <w:pStyle w:val="TextBody"/>
                              <w:bidi w:val="0"/>
                              <w:spacing w:before="0" w:after="160"/>
                              <w:jc w:val="center"/>
                              <w:rPr/>
                            </w:pPr>
                            <w:r>
                              <w:rPr/>
                            </w:r>
                            <w:r>
                              <w:br w:type="page"/>
                            </w:r>
                          </w:p>
                          <w:p>
                            <w:pPr>
                              <w:pStyle w:val="TextBody"/>
                              <w:bidi w:val="0"/>
                              <w:spacing w:lineRule="auto" w:line="300" w:before="0" w:after="16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160"/>
                              <w:jc w:val="left"/>
                              <w:rPr/>
                            </w:pPr>
                            <w:r>
                              <w:rPr/>
                            </w:r>
                          </w:p>
                          <w:p>
                            <w:pPr>
                              <w:pStyle w:val="TextBody"/>
                              <w:bidi w:val="0"/>
                              <w:spacing w:lineRule="auto" w:line="300" w:before="0" w:after="160"/>
                              <w:jc w:val="left"/>
                              <w:rPr/>
                            </w:pPr>
                            <w:r>
                              <w:rPr>
                                <w:rFonts w:ascii="Times New Roman;sans-serif" w:hAnsi="Times New Roman;sans-serif"/>
                                <w:b w:val="false"/>
                                <w:color w:val="000000"/>
                                <w:sz w:val="16"/>
                              </w:rPr>
                              <w:t>|US-DOCS\137849666.22</w:t>
                            </w:r>
                            <w:r>
                              <w:rPr>
                                <w:rFonts w:ascii="Calibri;sans-serif" w:hAnsi="Calibri;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300" w:before="0" w:after="16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160"/>
                        <w:jc w:val="left"/>
                        <w:rPr/>
                      </w:pPr>
                      <w:r>
                        <w:rPr/>
                      </w:r>
                    </w:p>
                    <w:p>
                      <w:pPr>
                        <w:pStyle w:val="TextBody"/>
                        <w:bidi w:val="0"/>
                        <w:spacing w:lineRule="auto" w:line="300" w:before="0" w:after="160"/>
                        <w:jc w:val="left"/>
                        <w:rPr/>
                      </w:pPr>
                      <w:r>
                        <w:rPr>
                          <w:rFonts w:ascii="Times New Roman;sans-serif" w:hAnsi="Times New Roman;sans-serif"/>
                          <w:b w:val="false"/>
                          <w:color w:val="000000"/>
                          <w:sz w:val="16"/>
                        </w:rPr>
                        <w:t>|US-DOCS\137849666.22</w:t>
                      </w:r>
                      <w:r>
                        <w:rPr>
                          <w:rFonts w:ascii="Calibri;sans-serif" w:hAnsi="Calibri;sans-serif"/>
                          <w:b w:val="false"/>
                          <w:color w:val="000000"/>
                          <w:sz w:val="16"/>
                        </w:rPr>
                        <w:t>||</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Times">
    <w:altName w:val="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hyperlink" Target="https://www.sec.gov/Archives/edgar/data/0001816581/000119312521076326/d149743dex31.htm" TargetMode="External"/><Relationship Id="rId11" Type="http://schemas.openxmlformats.org/officeDocument/2006/relationships/hyperlink" Target="https://www.sec.gov/Archives/edgar/data/0001816581/000119312521076326/d149743dex31.htm" TargetMode="External"/><Relationship Id="rId12" Type="http://schemas.openxmlformats.org/officeDocument/2006/relationships/hyperlink" Target="https://www.sec.gov/Archives/edgar/data/1816581/000119312523108331/d502108dex31.htm" TargetMode="External"/><Relationship Id="rId13" Type="http://schemas.openxmlformats.org/officeDocument/2006/relationships/hyperlink" Target="https://www.sec.gov/Archives/edgar/data/1816581/000119312523108331/d502108dex31.htm" TargetMode="External"/><Relationship Id="rId14" Type="http://schemas.openxmlformats.org/officeDocument/2006/relationships/hyperlink" Target="https://www.sec.gov/Archives/edgar/data/1816581/000119312523108331/d502108dex31.htm" TargetMode="External"/><Relationship Id="rId15" Type="http://schemas.openxmlformats.org/officeDocument/2006/relationships/hyperlink" Target="https://www.sec.gov/Archives/edgar/data/1816581/000119312523273534/d580466d8k.htm" TargetMode="External"/><Relationship Id="rId16" Type="http://schemas.openxmlformats.org/officeDocument/2006/relationships/hyperlink" Target="https://www.sec.gov/Archives/edgar/data/1816581/000119312523273534/d580466d8k.htm" TargetMode="External"/><Relationship Id="rId17" Type="http://schemas.openxmlformats.org/officeDocument/2006/relationships/hyperlink" Target="https://www.sec.gov/Archives/edgar/data/1816581/000119312523273534/d580466d8k.htm" TargetMode="External"/><Relationship Id="rId18" Type="http://schemas.openxmlformats.org/officeDocument/2006/relationships/hyperlink" Target="https://www.sec.gov/Archives/edgar/data/0001816581/000119312520229870/d938278dex41.htm" TargetMode="External"/><Relationship Id="rId19" Type="http://schemas.openxmlformats.org/officeDocument/2006/relationships/hyperlink" Target="https://www.sec.gov/Archives/edgar/data/0001816581/000119312520229870/d938278dex41.htm" TargetMode="External"/><Relationship Id="rId20" Type="http://schemas.openxmlformats.org/officeDocument/2006/relationships/hyperlink" Target="https://www.sec.gov/Archives/edgar/data/0001816581/000119312520209451/d937985dex43.htm" TargetMode="External"/><Relationship Id="rId21" Type="http://schemas.openxmlformats.org/officeDocument/2006/relationships/hyperlink" Target="https://www.sec.gov/Archives/edgar/data/0001816581/000119312520209451/d937985dex43.htm" TargetMode="External"/><Relationship Id="rId22" Type="http://schemas.openxmlformats.org/officeDocument/2006/relationships/hyperlink" Target="https://www.sec.gov/Archives/edgar/data/1745317/000119312522029612/d54842dex41.htm" TargetMode="External"/><Relationship Id="rId23" Type="http://schemas.openxmlformats.org/officeDocument/2006/relationships/hyperlink" Target="https://www.sec.gov/Archives/edgar/data/1745317/000119312522029612/d54842dex41.htm" TargetMode="External"/><Relationship Id="rId24" Type="http://schemas.openxmlformats.org/officeDocument/2006/relationships/hyperlink" Target="https://www.sec.gov/Archives/edgar/data/1745317/000114420418054354/tv505017_ex4-1.htm" TargetMode="External"/><Relationship Id="rId25" Type="http://schemas.openxmlformats.org/officeDocument/2006/relationships/hyperlink" Target="https://www.sec.gov/Archives/edgar/data/1745317/000114420418054354/tv505017_ex4-1.htm" TargetMode="External"/><Relationship Id="rId26" Type="http://schemas.openxmlformats.org/officeDocument/2006/relationships/hyperlink" Target="https://www.sec.gov/Archives/edgar/data/1816581/000162828022004256/oust-ex101for202110xk.htm" TargetMode="External"/><Relationship Id="rId27" Type="http://schemas.openxmlformats.org/officeDocument/2006/relationships/hyperlink" Target="https://www.sec.gov/Archives/edgar/data/1816581/000162828022004256/oust-ex101for202110xk.htm" TargetMode="External"/><Relationship Id="rId28" Type="http://schemas.openxmlformats.org/officeDocument/2006/relationships/hyperlink" Target="https://www.sec.gov/Archives/edgar/data/0001816581/000119312521080038/d122652dex102.htm" TargetMode="External"/><Relationship Id="rId29" Type="http://schemas.openxmlformats.org/officeDocument/2006/relationships/hyperlink" Target="https://www.sec.gov/Archives/edgar/data/0001816581/000119312521080038/d122652dex102.htm" TargetMode="External"/><Relationship Id="rId30" Type="http://schemas.openxmlformats.org/officeDocument/2006/relationships/hyperlink" Target="https://www.sec.gov/Archives/edgar/data/0001816581/000119312521080038/d122652dex103.htm" TargetMode="External"/><Relationship Id="rId31" Type="http://schemas.openxmlformats.org/officeDocument/2006/relationships/hyperlink" Target="https://www.sec.gov/Archives/edgar/data/0001816581/000119312521080038/d122652dex103.htm" TargetMode="External"/><Relationship Id="rId32" Type="http://schemas.openxmlformats.org/officeDocument/2006/relationships/hyperlink" Target="http://www.sec.gov/Archives/edgar/data/1816581/000119312520324674/d10549dex105a.htm" TargetMode="External"/><Relationship Id="rId33" Type="http://schemas.openxmlformats.org/officeDocument/2006/relationships/hyperlink" Target="http://www.sec.gov/Archives/edgar/data/1816581/000119312520324674/d10549dex105a.htm" TargetMode="External"/><Relationship Id="rId34" Type="http://schemas.openxmlformats.org/officeDocument/2006/relationships/hyperlink" Target="http://www.sec.gov/Archives/edgar/data/1816581/000119312521080038/d122652dex103b.htm" TargetMode="External"/><Relationship Id="rId35" Type="http://schemas.openxmlformats.org/officeDocument/2006/relationships/hyperlink" Target="http://www.sec.gov/Archives/edgar/data/1816581/000119312521080038/d122652dex103b.htm" TargetMode="External"/><Relationship Id="rId36" Type="http://schemas.openxmlformats.org/officeDocument/2006/relationships/hyperlink" Target="http://www.sec.gov/Archives/edgar/data/1816581/000119312520324674/d10549dex106.htm" TargetMode="External"/><Relationship Id="rId37" Type="http://schemas.openxmlformats.org/officeDocument/2006/relationships/hyperlink" Target="http://www.sec.gov/Archives/edgar/data/1816581/000119312520324674/d10549dex106.htm" TargetMode="External"/><Relationship Id="rId38" Type="http://schemas.openxmlformats.org/officeDocument/2006/relationships/hyperlink" Target="http://www.sec.gov/Archives/edgar/data/1816581/000119312521019642/d10549dex1013.htm" TargetMode="External"/><Relationship Id="rId39" Type="http://schemas.openxmlformats.org/officeDocument/2006/relationships/hyperlink" Target="http://www.sec.gov/Archives/edgar/data/1816581/000119312521019642/d10549dex1013.htm" TargetMode="External"/><Relationship Id="rId40" Type="http://schemas.openxmlformats.org/officeDocument/2006/relationships/hyperlink" Target="http://www.sec.gov/Archives/edgar/data/1816581/000119312521019642/d10549dex1013a.htm" TargetMode="External"/><Relationship Id="rId41" Type="http://schemas.openxmlformats.org/officeDocument/2006/relationships/hyperlink" Target="http://www.sec.gov/Archives/edgar/data/1816581/000119312521019642/d10549dex1013a.htm" TargetMode="External"/><Relationship Id="rId42" Type="http://schemas.openxmlformats.org/officeDocument/2006/relationships/hyperlink" Target="http://www.sec.gov/Archives/edgar/data/1816581/000119312521019642/d10549dex1013b.htm" TargetMode="External"/><Relationship Id="rId43" Type="http://schemas.openxmlformats.org/officeDocument/2006/relationships/hyperlink" Target="http://www.sec.gov/Archives/edgar/data/1816581/000119312521019642/d10549dex1013b.htm" TargetMode="External"/><Relationship Id="rId44" Type="http://schemas.openxmlformats.org/officeDocument/2006/relationships/hyperlink" Target="http://www.sec.gov/Archives/edgar/data/1816581/000119312521019642/d10549dex1013c.htm" TargetMode="External"/><Relationship Id="rId45" Type="http://schemas.openxmlformats.org/officeDocument/2006/relationships/hyperlink" Target="http://www.sec.gov/Archives/edgar/data/1816581/000119312521019642/d10549dex1013c.htm" TargetMode="External"/><Relationship Id="rId46" Type="http://schemas.openxmlformats.org/officeDocument/2006/relationships/hyperlink" Target="http://www.sec.gov/Archives/edgar/data/1816581/000119312521019642/d10549dex1013d.htm" TargetMode="External"/><Relationship Id="rId47" Type="http://schemas.openxmlformats.org/officeDocument/2006/relationships/hyperlink" Target="http://www.sec.gov/Archives/edgar/data/1816581/000119312521019642/d10549dex1013d.htm" TargetMode="External"/><Relationship Id="rId48" Type="http://schemas.openxmlformats.org/officeDocument/2006/relationships/hyperlink" Target="http://www.sec.gov/Archives/edgar/data/1816581/000119312521019642/d10549dex1013e.htm" TargetMode="External"/><Relationship Id="rId49" Type="http://schemas.openxmlformats.org/officeDocument/2006/relationships/hyperlink" Target="http://www.sec.gov/Archives/edgar/data/1816581/000119312521019642/d10549dex1013e.htm" TargetMode="External"/><Relationship Id="rId50" Type="http://schemas.openxmlformats.org/officeDocument/2006/relationships/hyperlink" Target="http://www.sec.gov/Archives/edgar/data/1816581/000119312521019642/d10549dex1013f.htm" TargetMode="External"/><Relationship Id="rId51" Type="http://schemas.openxmlformats.org/officeDocument/2006/relationships/hyperlink" Target="http://www.sec.gov/Archives/edgar/data/1816581/000119312521019642/d10549dex1013f.htm" TargetMode="External"/><Relationship Id="rId52" Type="http://schemas.openxmlformats.org/officeDocument/2006/relationships/hyperlink" Target="http://www.sec.gov/Archives/edgar/data/1816581/000119312521019642/d10549dex1013g.htm" TargetMode="External"/><Relationship Id="rId53" Type="http://schemas.openxmlformats.org/officeDocument/2006/relationships/hyperlink" Target="http://www.sec.gov/Archives/edgar/data/1816581/000119312521019642/d10549dex1013g.htm" TargetMode="External"/><Relationship Id="rId54" Type="http://schemas.openxmlformats.org/officeDocument/2006/relationships/hyperlink" Target="http://www.sec.gov/Archives/edgar/data/1816581/000119312521019642/d10549dex1014.htm" TargetMode="External"/><Relationship Id="rId55" Type="http://schemas.openxmlformats.org/officeDocument/2006/relationships/hyperlink" Target="http://www.sec.gov/Archives/edgar/data/1816581/000119312521019642/d10549dex1014.htm" TargetMode="External"/><Relationship Id="rId56" Type="http://schemas.openxmlformats.org/officeDocument/2006/relationships/hyperlink" Target="http://www.sec.gov/Archives/edgar/data/1816581/000119312521019642/d10549dex1014a.htm" TargetMode="External"/><Relationship Id="rId57" Type="http://schemas.openxmlformats.org/officeDocument/2006/relationships/hyperlink" Target="http://www.sec.gov/Archives/edgar/data/1816581/000119312521019642/d10549dex1014a.htm" TargetMode="External"/><Relationship Id="rId58" Type="http://schemas.openxmlformats.org/officeDocument/2006/relationships/hyperlink" Target="http://www.sec.gov/Archives/edgar/data/1816581/000119312521019642/d10549dex1014b.htm" TargetMode="External"/><Relationship Id="rId59" Type="http://schemas.openxmlformats.org/officeDocument/2006/relationships/hyperlink" Target="http://www.sec.gov/Archives/edgar/data/1816581/000119312521019642/d10549dex1014b.htm" TargetMode="External"/><Relationship Id="rId60" Type="http://schemas.openxmlformats.org/officeDocument/2006/relationships/hyperlink" Target="https://www.sec.gov/Archives/edgar/data/1816581/000162828022004256/oust-ex106cfor202110xk.htm" TargetMode="External"/><Relationship Id="rId61" Type="http://schemas.openxmlformats.org/officeDocument/2006/relationships/hyperlink" Target="https://www.sec.gov/Archives/edgar/data/1816581/000162828022004256/oust-ex106cfor202110xk.htm" TargetMode="External"/><Relationship Id="rId62" Type="http://schemas.openxmlformats.org/officeDocument/2006/relationships/hyperlink" Target="https://www.sec.gov/Archives/edgar/data/1816581/000162828023009161/oust-ex107secondarnonxempl.htm" TargetMode="External"/><Relationship Id="rId63" Type="http://schemas.openxmlformats.org/officeDocument/2006/relationships/hyperlink" Target="https://www.sec.gov/Archives/edgar/data/1816581/000162828023009161/oust-ex107secondarnonxempl.htm" TargetMode="External"/><Relationship Id="rId64" Type="http://schemas.openxmlformats.org/officeDocument/2006/relationships/hyperlink" Target="https://www.sec.gov/Archives/edgar/data/0001816581/000119312521291627/d217527dex21.htm" TargetMode="External"/><Relationship Id="rId65" Type="http://schemas.openxmlformats.org/officeDocument/2006/relationships/hyperlink" Target="https://www.sec.gov/Archives/edgar/data/0001816581/000119312521291627/d217527dex21.htm" TargetMode="External"/><Relationship Id="rId66" Type="http://schemas.openxmlformats.org/officeDocument/2006/relationships/hyperlink" Target="https://www.sec.gov/Archives/edgar/data/0001816581/000119312521311897/d245371dex991.htm" TargetMode="External"/><Relationship Id="rId67" Type="http://schemas.openxmlformats.org/officeDocument/2006/relationships/hyperlink" Target="https://www.sec.gov/Archives/edgar/data/0001816581/000119312521311897/d245371dex991.htm" TargetMode="External"/><Relationship Id="rId68" Type="http://schemas.openxmlformats.org/officeDocument/2006/relationships/hyperlink" Target="https://www.sec.gov/Archives/edgar/data/1816581/000162828022004256/oust-ex109afor202110xk.htm" TargetMode="External"/><Relationship Id="rId69" Type="http://schemas.openxmlformats.org/officeDocument/2006/relationships/hyperlink" Target="https://www.sec.gov/Archives/edgar/data/1816581/000162828022004256/oust-ex109afor202110xk.htm" TargetMode="External"/><Relationship Id="rId70" Type="http://schemas.openxmlformats.org/officeDocument/2006/relationships/hyperlink" Target="http://www.sec.gov/Archives/edgar/data/1816581/000119312521104385/d156556dex109.htm" TargetMode="External"/><Relationship Id="rId71" Type="http://schemas.openxmlformats.org/officeDocument/2006/relationships/hyperlink" Target="http://www.sec.gov/Archives/edgar/data/1816581/000119312521104385/d156556dex109.htm" TargetMode="External"/><Relationship Id="rId72" Type="http://schemas.openxmlformats.org/officeDocument/2006/relationships/hyperlink" Target="http://www.sec.gov/Archives/edgar/data/1816581/000119312521104385/d156556dex109a.htm" TargetMode="External"/><Relationship Id="rId73" Type="http://schemas.openxmlformats.org/officeDocument/2006/relationships/hyperlink" Target="http://www.sec.gov/Archives/edgar/data/1816581/000119312521104385/d156556dex109a.htm" TargetMode="External"/><Relationship Id="rId74" Type="http://schemas.openxmlformats.org/officeDocument/2006/relationships/hyperlink" Target="http://www.sec.gov/Archives/edgar/data/1816581/000119312521104385/d156556dex109b.htm" TargetMode="External"/><Relationship Id="rId75" Type="http://schemas.openxmlformats.org/officeDocument/2006/relationships/hyperlink" Target="http://www.sec.gov/Archives/edgar/data/1816581/000119312521104385/d156556dex109b.htm" TargetMode="External"/><Relationship Id="rId76" Type="http://schemas.openxmlformats.org/officeDocument/2006/relationships/hyperlink" Target="http://www.sec.gov/Archives/edgar/data/1816581/000119312521104385/d156556dex109c.htm" TargetMode="External"/><Relationship Id="rId77" Type="http://schemas.openxmlformats.org/officeDocument/2006/relationships/hyperlink" Target="http://www.sec.gov/Archives/edgar/data/1816581/000119312521104385/d156556dex109c.htm" TargetMode="External"/><Relationship Id="rId78" Type="http://schemas.openxmlformats.org/officeDocument/2006/relationships/hyperlink" Target="https://www.sec.gov/Archives/edgar/data/1816581/000119312522173918/d326367dex101.htm" TargetMode="External"/><Relationship Id="rId79" Type="http://schemas.openxmlformats.org/officeDocument/2006/relationships/hyperlink" Target="https://www.sec.gov/Archives/edgar/data/1816581/000119312522173918/d326367dex101.htm" TargetMode="External"/><Relationship Id="rId80" Type="http://schemas.openxmlformats.org/officeDocument/2006/relationships/hyperlink" Target="https://www.sec.gov/Archives/edgar/data/1816581/000162828022013060/hercules-loanandsecurityag.htm" TargetMode="External"/><Relationship Id="rId81" Type="http://schemas.openxmlformats.org/officeDocument/2006/relationships/hyperlink" Target="https://www.sec.gov/Archives/edgar/data/1816581/000162828022013060/hercules-loanandsecurityag.htm" TargetMode="External"/><Relationship Id="rId82" Type="http://schemas.openxmlformats.org/officeDocument/2006/relationships/hyperlink" Target="https://www.sec.gov/Archives/edgar/data/1816581/000162828022028989/oust-30sep22xex105.htm" TargetMode="External"/><Relationship Id="rId83" Type="http://schemas.openxmlformats.org/officeDocument/2006/relationships/hyperlink" Target="https://www.sec.gov/Archives/edgar/data/1816581/000162828022028989/oust-30sep22xex105.htm" TargetMode="External"/><Relationship Id="rId84" Type="http://schemas.openxmlformats.org/officeDocument/2006/relationships/hyperlink" Target="https://www.sec.gov/Archives/edgar/data/1816581/000119312522278440/d386513dex101.htm" TargetMode="External"/><Relationship Id="rId85" Type="http://schemas.openxmlformats.org/officeDocument/2006/relationships/hyperlink" Target="https://www.sec.gov/Archives/edgar/data/1816581/000119312522278440/d386513dex101.htm" TargetMode="External"/><Relationship Id="rId86" Type="http://schemas.openxmlformats.org/officeDocument/2006/relationships/hyperlink" Target="https://www.sec.gov/Archives/edgar/data/1816581/000162828023009161/oust-ex1012cxthirdamendmen.htm" TargetMode="External"/><Relationship Id="rId87" Type="http://schemas.openxmlformats.org/officeDocument/2006/relationships/hyperlink" Target="https://www.sec.gov/Archives/edgar/data/1816581/000162828023009161/oust-ex1012cxthirdamendmen.htm" TargetMode="External"/><Relationship Id="rId88" Type="http://schemas.openxmlformats.org/officeDocument/2006/relationships/hyperlink" Target="https://www.sec.gov/Archives/edgar/data/1745317/000110465921080522/tm2119574d1_10-1.htm" TargetMode="External"/><Relationship Id="rId89" Type="http://schemas.openxmlformats.org/officeDocument/2006/relationships/hyperlink" Target="https://www.sec.gov/Archives/edgar/data/1745317/000110465921080522/tm2119574d1_10-1.htm" TargetMode="External"/><Relationship Id="rId90" Type="http://schemas.openxmlformats.org/officeDocument/2006/relationships/hyperlink" Target="https://www.sec.gov/Archives/edgar/data/1745317/000110465921080522/tm2119574d1_10-1.htm" TargetMode="External"/><Relationship Id="rId91" Type="http://schemas.openxmlformats.org/officeDocument/2006/relationships/hyperlink" Target="https://www.sec.gov/Archives/edgar/data/1745317/000110465921080522/tm2119574d1_10-1.htm" TargetMode="External"/><Relationship Id="rId92" Type="http://schemas.openxmlformats.org/officeDocument/2006/relationships/hyperlink" Target="https://www.sec.gov/Archives/edgar/data/1816581/000162828022028989/oust-30sep22xex102.htm" TargetMode="External"/><Relationship Id="rId93" Type="http://schemas.openxmlformats.org/officeDocument/2006/relationships/hyperlink" Target="https://www.sec.gov/Archives/edgar/data/1816581/000162828022028989/oust-30sep22xex102.htm" TargetMode="External"/><Relationship Id="rId94" Type="http://schemas.openxmlformats.org/officeDocument/2006/relationships/hyperlink" Target="https://www.sec.gov/Archives/edgar/data/1816581/000162828022028989/oust-30sep22xex102.htm" TargetMode="External"/><Relationship Id="rId95" Type="http://schemas.openxmlformats.org/officeDocument/2006/relationships/hyperlink" Target="https://www.sec.gov/Archives/edgar/data/1816581/000162828022028989/oust-30sep22xex102.htm" TargetMode="External"/><Relationship Id="rId96" Type="http://schemas.openxmlformats.org/officeDocument/2006/relationships/hyperlink" Target="https://www.sec.gov/Archives/edgar/data/1745317/000162828022029030/exhibit10122q3offerletterw.htm" TargetMode="External"/><Relationship Id="rId97" Type="http://schemas.openxmlformats.org/officeDocument/2006/relationships/hyperlink" Target="https://www.sec.gov/Archives/edgar/data/1745317/000162828022029030/exhibit10122q3offerletterw.htm" TargetMode="External"/><Relationship Id="rId98" Type="http://schemas.openxmlformats.org/officeDocument/2006/relationships/hyperlink" Target="https://www.sec.gov/Archives/edgar/data/1745317/000162828022029030/exhibit10122q3offerletterw.htm" TargetMode="External"/><Relationship Id="rId99" Type="http://schemas.openxmlformats.org/officeDocument/2006/relationships/hyperlink" Target="https://www.sec.gov/Archives/edgar/data/1745317/000162828022029030/exhibit10122q3offerletterw.htm" TargetMode="External"/><Relationship Id="rId100" Type="http://schemas.openxmlformats.org/officeDocument/2006/relationships/hyperlink" Target="https://www.sec.gov/Archives/edgar/data/1745317/000110465920112259/tm2032425d1_ex10-2.htm" TargetMode="External"/><Relationship Id="rId101" Type="http://schemas.openxmlformats.org/officeDocument/2006/relationships/hyperlink" Target="https://www.sec.gov/Archives/edgar/data/1745317/000110465920112259/tm2032425d1_ex10-2.htm" TargetMode="External"/><Relationship Id="rId102" Type="http://schemas.openxmlformats.org/officeDocument/2006/relationships/hyperlink" Target="https://www.sec.gov/Archives/edgar/data/1745317/000110465920112259/tm2032425d1_ex10-2.htm" TargetMode="External"/><Relationship Id="rId103" Type="http://schemas.openxmlformats.org/officeDocument/2006/relationships/hyperlink" Target="https://www.sec.gov/Archives/edgar/data/1745317/000110465920112259/tm2032425d1_ex10-2.htm" TargetMode="External"/><Relationship Id="rId104" Type="http://schemas.openxmlformats.org/officeDocument/2006/relationships/hyperlink" Target="https://www.sec.gov/Archives/edgar/data/1745317/000110465920112259/tm2032425d1_ex10-5.htm" TargetMode="External"/><Relationship Id="rId105" Type="http://schemas.openxmlformats.org/officeDocument/2006/relationships/hyperlink" Target="https://www.sec.gov/Archives/edgar/data/1745317/000110465920112259/tm2032425d1_ex10-5.htm" TargetMode="External"/><Relationship Id="rId106" Type="http://schemas.openxmlformats.org/officeDocument/2006/relationships/hyperlink" Target="https://www.sec.gov/Archives/edgar/data/1816581/000119312523036876/d344849dex991.htm" TargetMode="External"/><Relationship Id="rId107" Type="http://schemas.openxmlformats.org/officeDocument/2006/relationships/hyperlink" Target="https://www.sec.gov/Archives/edgar/data/1816581/000119312523036876/d344849dex991.htm" TargetMode="External"/><Relationship Id="rId108" Type="http://schemas.openxmlformats.org/officeDocument/2006/relationships/hyperlink" Target="https://www.sec.gov/Archives/edgar/data/1745317/000119312522029612/d54842dex101.htm" TargetMode="External"/><Relationship Id="rId109" Type="http://schemas.openxmlformats.org/officeDocument/2006/relationships/hyperlink" Target="https://www.sec.gov/Archives/edgar/data/1745317/000119312522029612/d54842dex101.htm" TargetMode="External"/><Relationship Id="rId110" Type="http://schemas.openxmlformats.org/officeDocument/2006/relationships/hyperlink" Target="https://www.sec.gov/Archives/edgar/data/1816581/000162828023029351/oust-30june23xex101.htm" TargetMode="External"/><Relationship Id="rId111" Type="http://schemas.openxmlformats.org/officeDocument/2006/relationships/hyperlink" Target="https://www.sec.gov/Archives/edgar/data/1816581/000162828023029351/oust-30june23xex101.htm" TargetMode="External"/><Relationship Id="rId112" Type="http://schemas.openxmlformats.org/officeDocument/2006/relationships/hyperlink" Target="https://www.sec.gov/Archives/edgar/data/1816581/000162828023029351/oust-30june23xex101.htm" TargetMode="External"/><Relationship Id="rId113" Type="http://schemas.openxmlformats.org/officeDocument/2006/relationships/hyperlink" Target="https://www.sec.gov/Archives/edgar/data/1816581/000162828023029351/oust-30june23xex101.htm" TargetMode="External"/><Relationship Id="rId114" Type="http://schemas.openxmlformats.org/officeDocument/2006/relationships/hyperlink" Target="https://www.sec.gov/Archives/edgar/data/1816581/000119312523267220/d565300dex101.htm" TargetMode="External"/><Relationship Id="rId115" Type="http://schemas.openxmlformats.org/officeDocument/2006/relationships/hyperlink" Target="https://www.sec.gov/Archives/edgar/data/1816581/000119312523267220/d565300dex101.htm" TargetMode="External"/><Relationship Id="rId116" Type="http://schemas.openxmlformats.org/officeDocument/2006/relationships/hyperlink" Target="https://www.sec.gov/Archives/edgar/data/1816581/000119312523267220/d565300dex101.htm" TargetMode="External"/><Relationship Id="rId117" Type="http://schemas.openxmlformats.org/officeDocument/2006/relationships/hyperlink" Target="https://www.sec.gov/Archives/edgar/data/1816581/000119312523267220/d565300dex101.htm" TargetMode="External"/><Relationship Id="rId118" Type="http://schemas.openxmlformats.org/officeDocument/2006/relationships/hyperlink" Target="https://www.sec.gov/Archives/edgar/data/1816581/000119312523267220/d565300dex101.htm" TargetMode="External"/><Relationship Id="rId119" Type="http://schemas.openxmlformats.org/officeDocument/2006/relationships/hyperlink" Target="https://www.sec.gov/Archives/edgar/data/1816581/000119312523267220/d565300dex101.htm" TargetMode="External"/><Relationship Id="rId120" Type="http://schemas.openxmlformats.org/officeDocument/2006/relationships/hyperlink" Target="https://www.sec.gov/Archives/edgar/data/1816581/000119312523267220/d565300dex101.htm" TargetMode="External"/><Relationship Id="rId121" Type="http://schemas.openxmlformats.org/officeDocument/2006/relationships/hyperlink" Target="https://www.sec.gov/Archives/edgar/data/1816581/000119312523267220/d565300dex101.htm" TargetMode="External"/><Relationship Id="rId122" Type="http://schemas.openxmlformats.org/officeDocument/2006/relationships/hyperlink" Target="https://www.sec.gov/Archives/edgar/data/1816581/000119312523267220/d565300dex101.htm" TargetMode="External"/><Relationship Id="rId123" Type="http://schemas.openxmlformats.org/officeDocument/2006/relationships/fontTable" Target="fontTable.xml"/><Relationship Id="rId1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83016</Words>
  <Characters>460984</Characters>
  <CharactersWithSpaces>541011</CharactersWithSpaces>
  <Paragraphs>4426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