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5877d8k.htm"/>
      <w:bookmarkStart w:id="1" w:name="ksd115877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80" w:after="0"/>
        <w:jc w:val="center"/>
        <w:rPr>
          <w:rFonts w:ascii="Times New Roman" w:hAnsi="Times New Roman"/>
          <w:b/>
          <w:sz w:val="24"/>
        </w:rPr>
      </w:pPr>
      <w:r>
        <w:rPr>
          <w:rFonts w:ascii="Times New Roman" w:hAnsi="Times New Roman"/>
          <w:b/>
          <w:sz w:val="24"/>
        </w:rPr>
        <w:t>Date of Report (Date of earliest event reported): July 2,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48"/>
        </w:rPr>
      </w:pPr>
      <w:r>
        <w:rPr>
          <w:rFonts w:ascii="Times New Roman" w:hAnsi="Times New Roman"/>
          <w:b/>
          <w:sz w:val="48"/>
        </w:rPr>
        <w:t>Ouster,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600" w:type="dxa"/>
        <w:jc w:val="left"/>
        <w:tblInd w:w="0" w:type="dxa"/>
        <w:tblLayout w:type="fixed"/>
        <w:tblCellMar>
          <w:top w:w="0" w:type="dxa"/>
          <w:left w:w="0" w:type="dxa"/>
          <w:bottom w:w="0" w:type="dxa"/>
          <w:right w:w="0" w:type="dxa"/>
        </w:tblCellMar>
      </w:tblPr>
      <w:tblGrid>
        <w:gridCol w:w="2720"/>
        <w:gridCol w:w="60"/>
        <w:gridCol w:w="1385"/>
        <w:gridCol w:w="60"/>
        <w:gridCol w:w="2375"/>
      </w:tblGrid>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001-39463</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center"/>
              <w:rPr>
                <w:b/>
              </w:rPr>
            </w:pPr>
            <w:r>
              <w:rPr>
                <w:b/>
              </w:rPr>
              <w:t>86-2528989</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center"/>
              <w:rPr>
                <w:b/>
              </w:rPr>
            </w:pPr>
            <w:r>
              <w:rPr>
                <w:b/>
              </w:rPr>
              <w:t>(IRS Employer</w:t>
              <w:br/>
              <w:t>Identification Number)</w:t>
            </w:r>
          </w:p>
        </w:tc>
      </w:tr>
    </w:tbl>
    <w:p>
      <w:pPr>
        <w:pStyle w:val="TextBody"/>
        <w:bidi w:val="0"/>
        <w:spacing w:before="180" w:after="0"/>
        <w:jc w:val="center"/>
        <w:rPr>
          <w:rFonts w:ascii="Times New Roman" w:hAnsi="Times New Roman"/>
          <w:b/>
          <w:sz w:val="20"/>
        </w:rPr>
      </w:pPr>
      <w:r>
        <w:rPr>
          <w:rFonts w:ascii="Times New Roman" w:hAnsi="Times New Roman"/>
          <w:b/>
          <w:sz w:val="20"/>
        </w:rPr>
        <w:t>350 Treat Avenue</w:t>
      </w:r>
    </w:p>
    <w:p>
      <w:pPr>
        <w:pStyle w:val="TextBody"/>
        <w:bidi w:val="0"/>
        <w:spacing w:before="0" w:after="0"/>
        <w:jc w:val="center"/>
        <w:rPr>
          <w:rFonts w:ascii="Times New Roman" w:hAnsi="Times New Roman"/>
          <w:b/>
          <w:sz w:val="20"/>
        </w:rPr>
      </w:pPr>
      <w:r>
        <w:rPr>
          <w:rFonts w:ascii="Times New Roman" w:hAnsi="Times New Roman"/>
          <w:b/>
          <w:sz w:val="20"/>
        </w:rPr>
        <w:t>San Francisco, California 94110</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bidi w:val="0"/>
        <w:spacing w:before="180" w:after="0"/>
        <w:jc w:val="center"/>
        <w:rPr>
          <w:rFonts w:ascii="Times New Roman" w:hAnsi="Times New Roman"/>
          <w:b/>
          <w:sz w:val="20"/>
        </w:rPr>
      </w:pPr>
      <w:r>
        <w:rPr>
          <w:rFonts w:ascii="Times New Roman" w:hAnsi="Times New Roman"/>
          <w:b/>
          <w:sz w:val="20"/>
        </w:rPr>
        <w:t>(415) 949-0108</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18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8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950" w:type="dxa"/>
        <w:jc w:val="left"/>
        <w:tblInd w:w="0" w:type="dxa"/>
        <w:tblLayout w:type="fixed"/>
        <w:tblCellMar>
          <w:top w:w="0" w:type="dxa"/>
          <w:left w:w="0" w:type="dxa"/>
          <w:bottom w:w="0" w:type="dxa"/>
          <w:right w:w="0" w:type="dxa"/>
        </w:tblCellMar>
      </w:tblPr>
      <w:tblGrid>
        <w:gridCol w:w="4265"/>
        <w:gridCol w:w="60"/>
        <w:gridCol w:w="740"/>
        <w:gridCol w:w="60"/>
        <w:gridCol w:w="2825"/>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82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65" w:type="dxa"/>
            <w:tcBorders/>
            <w:vAlign w:val="center"/>
          </w:tcPr>
          <w:p>
            <w:pPr>
              <w:pStyle w:val="TableContents"/>
              <w:bidi w:val="0"/>
              <w:spacing w:before="0" w:after="283"/>
              <w:jc w:val="center"/>
              <w:rPr/>
            </w:pPr>
            <w:r>
              <w:rPr/>
              <w:t>Common Stock, $0.0001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OUST</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center"/>
              <w:rPr/>
            </w:pPr>
            <w:r>
              <w:rPr/>
              <w:t>Nasdaq Global Select Market</w:t>
            </w:r>
          </w:p>
        </w:tc>
      </w:tr>
    </w:tbl>
    <w:p>
      <w:pPr>
        <w:pStyle w:val="TextBody"/>
        <w:bidi w:val="0"/>
        <w:spacing w:before="18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80" w:after="0"/>
        <w:jc w:val="left"/>
        <w:rPr>
          <w:rFonts w:ascii="Times New Roman" w:hAnsi="Times New Roman"/>
          <w:sz w:val="20"/>
        </w:rPr>
      </w:pPr>
      <w:r>
        <w:rPr>
          <w:rFonts w:ascii="Times New Roman" w:hAnsi="Times New Roman"/>
          <w:sz w:val="20"/>
        </w:rPr>
        <w:t>Emerging growth company ☐</w:t>
      </w:r>
    </w:p>
    <w:p>
      <w:pPr>
        <w:pStyle w:val="TextBody"/>
        <w:bidi w:val="0"/>
        <w:spacing w:before="18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8.01 Other Events. </w:t>
      </w:r>
    </w:p>
    <w:p>
      <w:pPr>
        <w:pStyle w:val="TextBody"/>
        <w:bidi w:val="0"/>
        <w:spacing w:before="120" w:after="0"/>
        <w:jc w:val="left"/>
        <w:rPr>
          <w:rFonts w:ascii="Times New Roman" w:hAnsi="Times New Roman"/>
          <w:sz w:val="20"/>
        </w:rPr>
      </w:pPr>
      <w:r>
        <w:rPr>
          <w:rFonts w:ascii="Times New Roman" w:hAnsi="Times New Roman"/>
          <w:sz w:val="20"/>
        </w:rPr>
        <w:t xml:space="preserve">On July 2, 2026, Ouster, Inc. (the “Company”) entered into an underwriting agreement (the “Underwriting Agreement”) with Northland Securities, Inc. as underwriter (the “Underwriter”), pursuant to which the Company agreed to issue and sell an aggregate of 3,621,876 shares (the “Firm Shares”) of its common stock, par value $0.0001 per share (“Common Stock”) to the Underwriter (the “Offering”). Additionally, under the terms of the Underwriting Agreement, the Company granted the Underwriter a 30-day option, solely for the purpose of covering over-allotments, if any, to purchase up to an additional 543,281 shares of Common Stock (the “Optional Shares,” and together with the Firm Shares, the “Shares”). The price to the public in the Offering was $55.22 per share. </w:t>
      </w:r>
    </w:p>
    <w:p>
      <w:pPr>
        <w:pStyle w:val="TextBody"/>
        <w:bidi w:val="0"/>
        <w:spacing w:before="240" w:after="0"/>
        <w:jc w:val="left"/>
        <w:rPr>
          <w:rFonts w:ascii="Times New Roman" w:hAnsi="Times New Roman"/>
          <w:sz w:val="20"/>
        </w:rPr>
      </w:pPr>
      <w:r>
        <w:rPr>
          <w:rFonts w:ascii="Times New Roman" w:hAnsi="Times New Roman"/>
          <w:sz w:val="20"/>
        </w:rPr>
        <w:t>The Offering was made under a prospectus supplement and related prospectus filed with the Securities and Exchange Commission pursuant to the Company’s effective shelf registration statement on Form S-3 (Registration No. 333-297220).</w:t>
      </w:r>
    </w:p>
    <w:p>
      <w:pPr>
        <w:pStyle w:val="TextBody"/>
        <w:bidi w:val="0"/>
        <w:spacing w:before="240" w:after="0"/>
        <w:jc w:val="left"/>
        <w:rPr>
          <w:rFonts w:ascii="Times New Roman" w:hAnsi="Times New Roman"/>
          <w:sz w:val="20"/>
        </w:rPr>
      </w:pPr>
      <w:r>
        <w:rPr>
          <w:rFonts w:ascii="Times New Roman" w:hAnsi="Times New Roman"/>
          <w:sz w:val="20"/>
        </w:rPr>
        <w:t xml:space="preserve">On July 6, 2026, the Company completed the sale and issuance of an aggregate of 3,621,876 shares of Common Stock. The Company received net proceeds of approximately $191.9 million, after deducting the Underwriter’s discounts and commissions. </w:t>
      </w:r>
    </w:p>
    <w:p>
      <w:pPr>
        <w:pStyle w:val="TextBody"/>
        <w:bidi w:val="0"/>
        <w:spacing w:before="240" w:after="0"/>
        <w:jc w:val="left"/>
        <w:rPr>
          <w:rFonts w:ascii="Times New Roman" w:hAnsi="Times New Roman"/>
          <w:sz w:val="20"/>
        </w:rPr>
      </w:pPr>
      <w:r>
        <w:rPr>
          <w:rFonts w:ascii="Times New Roman" w:hAnsi="Times New Roman"/>
          <w:sz w:val="20"/>
        </w:rPr>
        <w:t xml:space="preserve">The Underwriting Agreement contains customary representations, warranties, covenants and agreements by the Company, customary conditions to closing, indemnification obligations of the Company and the Underwriter, including for liabilities under the Securities Act of 1933, as amended, other obligations of the parties and termination provisions. The representations, warranties and covenants contained in the Underwriting Agreement were made only for purposes of such agreement and as of specific dates, were solely for the benefit of the parties to such agreement, and may be subject to limitations agreed upon by the contracting parties. The Company and the Company’s directors and executive officers also agreed not to sell or transfer any Common Stock for 60 days after July 2, 2026, without first obtaining the written consent of the Underwriter, subject to certain exceptions as described in the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A copy of the Underwriting Agreement, including the form of lock-up agreement, is attached as Exhibit 1.1 hereto and is incorporated herein by reference. The foregoing descriptions of the Underwriting Agreement and lock-up agreements are not complete descriptions thereof, and are qualified in their entirety by reference to such exhibit. </w:t>
      </w:r>
    </w:p>
    <w:p>
      <w:pPr>
        <w:pStyle w:val="TextBody"/>
        <w:bidi w:val="0"/>
        <w:spacing w:before="240" w:after="0"/>
        <w:jc w:val="left"/>
        <w:rPr>
          <w:rFonts w:ascii="Times New Roman" w:hAnsi="Times New Roman"/>
          <w:sz w:val="20"/>
        </w:rPr>
      </w:pPr>
      <w:r>
        <w:rPr>
          <w:rFonts w:ascii="Times New Roman" w:hAnsi="Times New Roman"/>
          <w:sz w:val="20"/>
        </w:rPr>
        <w:t xml:space="preserve">A copy of the opinion of Latham &amp; Watkins LLP relating to the validity of the securities issued in the Offering is filed herewith as Exhibit 5.1. </w:t>
      </w:r>
    </w:p>
    <w:p>
      <w:pPr>
        <w:pStyle w:val="TextBody"/>
        <w:bidi w:val="0"/>
        <w:spacing w:before="36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60"/>
        <w:gridCol w:w="120"/>
        <w:gridCol w:w="9225"/>
      </w:tblGrid>
      <w:tr>
        <w:trPr/>
        <w:tc>
          <w:tcPr>
            <w:tcW w:w="8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25" w:type="dxa"/>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 No.</w:t>
            </w:r>
          </w:p>
        </w:tc>
        <w:tc>
          <w:tcPr>
            <w:tcW w:w="120" w:type="dxa"/>
            <w:tcBorders/>
            <w:vAlign w:val="center"/>
          </w:tcPr>
          <w:p>
            <w:pPr>
              <w:pStyle w:val="TableContents"/>
              <w:bidi w:val="0"/>
              <w:spacing w:before="0" w:after="283"/>
              <w:jc w:val="left"/>
              <w:rPr/>
            </w:pPr>
            <w:r>
              <w:rPr/>
              <w:t>  </w:t>
            </w:r>
          </w:p>
        </w:tc>
        <w:tc>
          <w:tcPr>
            <w:tcW w:w="922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c>
          <w:tcPr>
            <w:tcW w:w="860" w:type="dxa"/>
            <w:tcBorders/>
            <w:vAlign w:val="center"/>
          </w:tcPr>
          <w:p>
            <w:pPr>
              <w:pStyle w:val="TableContents"/>
              <w:bidi w:val="0"/>
              <w:spacing w:before="0" w:after="283"/>
              <w:jc w:val="left"/>
              <w:rPr>
                <w:sz w:val="4"/>
                <w:szCs w:val="4"/>
              </w:rPr>
            </w:pPr>
            <w:r>
              <w:rPr>
                <w:sz w:val="4"/>
                <w:szCs w:val="4"/>
              </w:rPr>
            </w:r>
          </w:p>
        </w:tc>
        <w:tc>
          <w:tcPr>
            <w:tcW w:w="934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283"/>
              <w:jc w:val="left"/>
              <w:rPr/>
            </w:pPr>
            <w:r>
              <w:rPr/>
              <w:t>1.1</w:t>
            </w:r>
          </w:p>
        </w:tc>
        <w:tc>
          <w:tcPr>
            <w:tcW w:w="120" w:type="dxa"/>
            <w:tcBorders/>
            <w:vAlign w:val="center"/>
          </w:tcPr>
          <w:p>
            <w:pPr>
              <w:pStyle w:val="TableContents"/>
              <w:bidi w:val="0"/>
              <w:spacing w:before="0" w:after="283"/>
              <w:jc w:val="left"/>
              <w:rPr/>
            </w:pPr>
            <w:r>
              <w:rPr/>
              <w:t>  </w:t>
            </w:r>
          </w:p>
        </w:tc>
        <w:tc>
          <w:tcPr>
            <w:tcW w:w="9225" w:type="dxa"/>
            <w:tcBorders/>
            <w:vAlign w:val="center"/>
          </w:tcPr>
          <w:p>
            <w:pPr>
              <w:pStyle w:val="TableContents"/>
              <w:bidi w:val="0"/>
              <w:spacing w:before="0" w:after="283"/>
              <w:jc w:val="left"/>
              <w:rPr/>
            </w:pPr>
            <w:hyperlink w:anchor="d115877dex11.htm">
              <w:r>
                <w:rPr>
                  <w:rStyle w:val="InternetLink"/>
                </w:rPr>
                <w:t xml:space="preserve">Underwriting Agreement, dated as of July 2, 2026, between Ouster, Inc. and Northland Securities, Inc. </w:t>
              </w:r>
            </w:hyperlink>
          </w:p>
        </w:tc>
      </w:tr>
      <w:tr>
        <w:trPr/>
        <w:tc>
          <w:tcPr>
            <w:tcW w:w="860" w:type="dxa"/>
            <w:tcBorders/>
            <w:vAlign w:val="center"/>
          </w:tcPr>
          <w:p>
            <w:pPr>
              <w:pStyle w:val="TableContents"/>
              <w:bidi w:val="0"/>
              <w:spacing w:before="0" w:after="283"/>
              <w:jc w:val="left"/>
              <w:rPr>
                <w:sz w:val="4"/>
                <w:szCs w:val="4"/>
              </w:rPr>
            </w:pPr>
            <w:r>
              <w:rPr>
                <w:sz w:val="4"/>
                <w:szCs w:val="4"/>
              </w:rPr>
            </w:r>
          </w:p>
        </w:tc>
        <w:tc>
          <w:tcPr>
            <w:tcW w:w="934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283"/>
              <w:jc w:val="left"/>
              <w:rPr/>
            </w:pPr>
            <w:r>
              <w:rPr/>
              <w:t>5.1</w:t>
            </w:r>
          </w:p>
        </w:tc>
        <w:tc>
          <w:tcPr>
            <w:tcW w:w="120" w:type="dxa"/>
            <w:tcBorders/>
            <w:vAlign w:val="center"/>
          </w:tcPr>
          <w:p>
            <w:pPr>
              <w:pStyle w:val="TableContents"/>
              <w:bidi w:val="0"/>
              <w:spacing w:before="0" w:after="283"/>
              <w:jc w:val="left"/>
              <w:rPr/>
            </w:pPr>
            <w:r>
              <w:rPr/>
              <w:t>  </w:t>
            </w:r>
          </w:p>
        </w:tc>
        <w:tc>
          <w:tcPr>
            <w:tcW w:w="9225" w:type="dxa"/>
            <w:tcBorders/>
            <w:vAlign w:val="center"/>
          </w:tcPr>
          <w:p>
            <w:pPr>
              <w:pStyle w:val="TableContents"/>
              <w:bidi w:val="0"/>
              <w:spacing w:before="0" w:after="283"/>
              <w:jc w:val="left"/>
              <w:rPr/>
            </w:pPr>
            <w:hyperlink w:anchor="d115877dex51.htm">
              <w:r>
                <w:rPr>
                  <w:rStyle w:val="InternetLink"/>
                </w:rPr>
                <w:t xml:space="preserve">Opinion of Latham &amp; Watkins LLP </w:t>
              </w:r>
            </w:hyperlink>
          </w:p>
        </w:tc>
      </w:tr>
      <w:tr>
        <w:trPr/>
        <w:tc>
          <w:tcPr>
            <w:tcW w:w="860" w:type="dxa"/>
            <w:tcBorders/>
            <w:vAlign w:val="center"/>
          </w:tcPr>
          <w:p>
            <w:pPr>
              <w:pStyle w:val="TableContents"/>
              <w:bidi w:val="0"/>
              <w:spacing w:before="0" w:after="283"/>
              <w:jc w:val="left"/>
              <w:rPr>
                <w:sz w:val="4"/>
                <w:szCs w:val="4"/>
              </w:rPr>
            </w:pPr>
            <w:r>
              <w:rPr>
                <w:sz w:val="4"/>
                <w:szCs w:val="4"/>
              </w:rPr>
            </w:r>
          </w:p>
        </w:tc>
        <w:tc>
          <w:tcPr>
            <w:tcW w:w="934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283"/>
              <w:jc w:val="left"/>
              <w:rPr/>
            </w:pPr>
            <w:r>
              <w:rPr/>
              <w:t>23.1</w:t>
            </w:r>
          </w:p>
        </w:tc>
        <w:tc>
          <w:tcPr>
            <w:tcW w:w="120" w:type="dxa"/>
            <w:tcBorders/>
            <w:vAlign w:val="center"/>
          </w:tcPr>
          <w:p>
            <w:pPr>
              <w:pStyle w:val="TableContents"/>
              <w:bidi w:val="0"/>
              <w:spacing w:before="0" w:after="283"/>
              <w:jc w:val="left"/>
              <w:rPr/>
            </w:pPr>
            <w:r>
              <w:rPr/>
              <w:t>  </w:t>
            </w:r>
          </w:p>
        </w:tc>
        <w:tc>
          <w:tcPr>
            <w:tcW w:w="9225" w:type="dxa"/>
            <w:tcBorders/>
            <w:vAlign w:val="center"/>
          </w:tcPr>
          <w:p>
            <w:pPr>
              <w:pStyle w:val="TableContents"/>
              <w:bidi w:val="0"/>
              <w:spacing w:before="0" w:after="283"/>
              <w:jc w:val="left"/>
              <w:rPr/>
            </w:pPr>
            <w:hyperlink w:anchor="d115877dex51.htm">
              <w:r>
                <w:rPr>
                  <w:rStyle w:val="InternetLink"/>
                </w:rPr>
                <w:t xml:space="preserve">Consent of Latham &amp; Watkins LLP (included in Exhibit 5.1) </w:t>
              </w:r>
            </w:hyperlink>
          </w:p>
        </w:tc>
      </w:tr>
      <w:tr>
        <w:trPr/>
        <w:tc>
          <w:tcPr>
            <w:tcW w:w="860" w:type="dxa"/>
            <w:tcBorders/>
            <w:vAlign w:val="center"/>
          </w:tcPr>
          <w:p>
            <w:pPr>
              <w:pStyle w:val="TableContents"/>
              <w:bidi w:val="0"/>
              <w:spacing w:before="0" w:after="283"/>
              <w:jc w:val="left"/>
              <w:rPr>
                <w:sz w:val="4"/>
                <w:szCs w:val="4"/>
              </w:rPr>
            </w:pPr>
            <w:r>
              <w:rPr>
                <w:sz w:val="4"/>
                <w:szCs w:val="4"/>
              </w:rPr>
            </w:r>
          </w:p>
        </w:tc>
        <w:tc>
          <w:tcPr>
            <w:tcW w:w="934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22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4768" w:type="dxa"/>
        <w:jc w:val="left"/>
        <w:tblInd w:w="0" w:type="dxa"/>
        <w:tblLayout w:type="fixed"/>
        <w:tblCellMar>
          <w:top w:w="0" w:type="dxa"/>
          <w:left w:w="0" w:type="dxa"/>
          <w:bottom w:w="0" w:type="dxa"/>
          <w:right w:w="0" w:type="dxa"/>
        </w:tblCellMar>
      </w:tblPr>
      <w:tblGrid>
        <w:gridCol w:w="556"/>
        <w:gridCol w:w="879"/>
        <w:gridCol w:w="338"/>
        <w:gridCol w:w="60"/>
        <w:gridCol w:w="650"/>
        <w:gridCol w:w="60"/>
        <w:gridCol w:w="2225"/>
      </w:tblGrid>
      <w:tr>
        <w:trPr/>
        <w:tc>
          <w:tcPr>
            <w:tcW w:w="55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r>
      <w:tr>
        <w:trPr/>
        <w:tc>
          <w:tcPr>
            <w:tcW w:w="1773" w:type="dxa"/>
            <w:gridSpan w:val="3"/>
            <w:tcBorders/>
            <w:vAlign w:val="center"/>
          </w:tcPr>
          <w:p>
            <w:pPr>
              <w:pStyle w:val="TableContents"/>
              <w:bidi w:val="0"/>
              <w:spacing w:before="0" w:after="283"/>
              <w:jc w:val="left"/>
              <w:rPr/>
            </w:pPr>
            <w:r>
              <w:rPr/>
              <w:t>Date: July 6, 2026</w:t>
            </w:r>
          </w:p>
        </w:tc>
        <w:tc>
          <w:tcPr>
            <w:tcW w:w="60" w:type="dxa"/>
            <w:tcBorders/>
            <w:vAlign w:val="center"/>
          </w:tcPr>
          <w:p>
            <w:pPr>
              <w:pStyle w:val="TableContents"/>
              <w:bidi w:val="0"/>
              <w:spacing w:before="0" w:after="283"/>
              <w:jc w:val="left"/>
              <w:rPr/>
            </w:pPr>
            <w:r>
              <w:rPr/>
              <w:t> </w:t>
            </w:r>
          </w:p>
        </w:tc>
        <w:tc>
          <w:tcPr>
            <w:tcW w:w="2935" w:type="dxa"/>
            <w:gridSpan w:val="3"/>
            <w:tcBorders/>
            <w:vAlign w:val="center"/>
          </w:tcPr>
          <w:p>
            <w:pPr>
              <w:pStyle w:val="TableContents"/>
              <w:bidi w:val="0"/>
              <w:spacing w:before="0" w:after="283"/>
              <w:jc w:val="left"/>
              <w:rPr/>
            </w:pPr>
            <w:r>
              <w:rPr/>
              <w:t>OUSTER, INC.</w:t>
            </w:r>
          </w:p>
        </w:tc>
      </w:tr>
      <w:tr>
        <w:trPr/>
        <w:tc>
          <w:tcPr>
            <w:tcW w:w="556" w:type="dxa"/>
            <w:tcBorders/>
            <w:vAlign w:val="center"/>
          </w:tcPr>
          <w:p>
            <w:pPr>
              <w:pStyle w:val="TableContents"/>
              <w:bidi w:val="0"/>
              <w:spacing w:before="0" w:after="283"/>
              <w:jc w:val="left"/>
              <w:rPr>
                <w:sz w:val="4"/>
                <w:szCs w:val="4"/>
              </w:rPr>
            </w:pPr>
            <w:r>
              <w:rPr>
                <w:sz w:val="4"/>
                <w:szCs w:val="4"/>
              </w:rPr>
            </w:r>
          </w:p>
        </w:tc>
        <w:tc>
          <w:tcPr>
            <w:tcW w:w="1217"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pPr>
            <w:r>
              <w:rPr/>
              <w:t> </w:t>
            </w:r>
          </w:p>
        </w:tc>
        <w:tc>
          <w:tcPr>
            <w:tcW w:w="3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Kenneth P. Gianella</w:t>
            </w:r>
          </w:p>
        </w:tc>
      </w:tr>
      <w:tr>
        <w:trPr/>
        <w:tc>
          <w:tcPr>
            <w:tcW w:w="55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pPr>
            <w:r>
              <w:rPr/>
              <w:t> </w:t>
            </w:r>
          </w:p>
        </w:tc>
        <w:tc>
          <w:tcPr>
            <w:tcW w:w="3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Kenneth P. Gianella</w:t>
            </w:r>
          </w:p>
        </w:tc>
      </w:tr>
      <w:tr>
        <w:trPr/>
        <w:tc>
          <w:tcPr>
            <w:tcW w:w="55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pPr>
            <w:r>
              <w:rPr/>
              <w:t> </w:t>
            </w:r>
          </w:p>
        </w:tc>
        <w:tc>
          <w:tcPr>
            <w:tcW w:w="3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0" w:after="0"/>
        <w:jc w:val="right"/>
        <w:rPr>
          <w:rFonts w:ascii="Times New Roman" w:hAnsi="Times New Roman"/>
          <w:b/>
          <w:sz w:val="20"/>
        </w:rPr>
      </w:pPr>
      <w:bookmarkStart w:id="2" w:name="d115877dex11.htm"/>
      <w:bookmarkStart w:id="3" w:name="ksd115877dex11"/>
      <w:bookmarkEnd w:id="2"/>
      <w:bookmarkEnd w:id="3"/>
      <w:r>
        <w:rPr>
          <w:rFonts w:ascii="Times New Roman" w:hAnsi="Times New Roman"/>
          <w:b/>
          <w:sz w:val="20"/>
        </w:rPr>
        <w:t xml:space="preserve">Exhibit 1.1 </w:t>
      </w:r>
      <w:r>
        <w:br w:type="page"/>
      </w:r>
    </w:p>
    <w:p>
      <w:pPr>
        <w:pStyle w:val="TextBody"/>
        <w:bidi w:val="0"/>
        <w:spacing w:before="240" w:after="0"/>
        <w:jc w:val="right"/>
        <w:rPr>
          <w:rFonts w:ascii="Times New Roman" w:hAnsi="Times New Roman"/>
          <w:sz w:val="20"/>
        </w:rPr>
      </w:pPr>
      <w:r>
        <w:rPr>
          <w:rFonts w:ascii="Times New Roman" w:hAnsi="Times New Roman"/>
          <w:b/>
          <w:i/>
          <w:sz w:val="20"/>
        </w:rPr>
        <w:t>Execution Version</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OUSTER, INC. </w:t>
      </w:r>
    </w:p>
    <w:p>
      <w:pPr>
        <w:pStyle w:val="TextBody"/>
        <w:bidi w:val="0"/>
        <w:spacing w:before="120" w:after="0"/>
        <w:jc w:val="center"/>
        <w:rPr>
          <w:rFonts w:ascii="Times New Roman" w:hAnsi="Times New Roman"/>
          <w:sz w:val="20"/>
        </w:rPr>
      </w:pPr>
      <w:r>
        <w:rPr>
          <w:rFonts w:ascii="Times New Roman" w:hAnsi="Times New Roman"/>
          <w:sz w:val="20"/>
        </w:rPr>
        <w:t xml:space="preserve">3,621,876 Shares of Common Stock </w:t>
      </w:r>
    </w:p>
    <w:p>
      <w:pPr>
        <w:pStyle w:val="TextBody"/>
        <w:bidi w:val="0"/>
        <w:spacing w:before="120" w:after="0"/>
        <w:jc w:val="center"/>
        <w:rPr>
          <w:rFonts w:ascii="Times New Roman" w:hAnsi="Times New Roman"/>
          <w:sz w:val="20"/>
        </w:rPr>
      </w:pPr>
      <w:r>
        <w:rPr>
          <w:rFonts w:ascii="Times New Roman" w:hAnsi="Times New Roman"/>
          <w:sz w:val="20"/>
        </w:rPr>
        <w:t xml:space="preserve">Underwriting Agreement </w:t>
      </w:r>
    </w:p>
    <w:p>
      <w:pPr>
        <w:pStyle w:val="TextBody"/>
        <w:bidi w:val="0"/>
        <w:spacing w:before="240" w:after="0"/>
        <w:jc w:val="right"/>
        <w:rPr>
          <w:rFonts w:ascii="Times New Roman" w:hAnsi="Times New Roman"/>
          <w:sz w:val="20"/>
        </w:rPr>
      </w:pPr>
      <w:r>
        <w:rPr>
          <w:rFonts w:ascii="Times New Roman" w:hAnsi="Times New Roman"/>
          <w:sz w:val="20"/>
        </w:rPr>
        <w:t xml:space="preserve">July 2, 2026 </w:t>
      </w:r>
    </w:p>
    <w:p>
      <w:pPr>
        <w:pStyle w:val="TextBody"/>
        <w:bidi w:val="0"/>
        <w:spacing w:before="240" w:after="0"/>
        <w:jc w:val="left"/>
        <w:rPr>
          <w:rFonts w:ascii="Times New Roman" w:hAnsi="Times New Roman"/>
          <w:sz w:val="20"/>
        </w:rPr>
      </w:pPr>
      <w:r>
        <w:rPr>
          <w:rFonts w:ascii="Times New Roman" w:hAnsi="Times New Roman"/>
          <w:sz w:val="20"/>
        </w:rPr>
        <w:t xml:space="preserve">NORTHLAND SECURITIES, INC. </w:t>
      </w:r>
    </w:p>
    <w:p>
      <w:pPr>
        <w:pStyle w:val="TextBody"/>
        <w:bidi w:val="0"/>
        <w:spacing w:before="0" w:after="0"/>
        <w:jc w:val="left"/>
        <w:rPr>
          <w:rFonts w:ascii="Times New Roman" w:hAnsi="Times New Roman"/>
          <w:sz w:val="20"/>
        </w:rPr>
      </w:pPr>
      <w:r>
        <w:rPr>
          <w:rFonts w:ascii="Times New Roman" w:hAnsi="Times New Roman"/>
          <w:sz w:val="20"/>
        </w:rPr>
        <w:t xml:space="preserve">150 South Fifth Street, Suite 3300 </w:t>
      </w:r>
    </w:p>
    <w:p>
      <w:pPr>
        <w:pStyle w:val="TextBody"/>
        <w:bidi w:val="0"/>
        <w:spacing w:before="0" w:after="0"/>
        <w:jc w:val="left"/>
        <w:rPr>
          <w:rFonts w:ascii="Times New Roman" w:hAnsi="Times New Roman"/>
          <w:sz w:val="20"/>
        </w:rPr>
      </w:pPr>
      <w:r>
        <w:rPr>
          <w:rFonts w:ascii="Times New Roman" w:hAnsi="Times New Roman"/>
          <w:sz w:val="20"/>
        </w:rPr>
        <w:t xml:space="preserve">Minneapolis, MN 55402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Ouster, Inc., a Delaware corporation (the “</w:t>
      </w:r>
      <w:r>
        <w:rPr>
          <w:rFonts w:ascii="Times New Roman" w:hAnsi="Times New Roman"/>
          <w:b/>
          <w:sz w:val="20"/>
        </w:rPr>
        <w:t>Company</w:t>
      </w:r>
      <w:r>
        <w:rPr>
          <w:rFonts w:ascii="Times New Roman" w:hAnsi="Times New Roman"/>
          <w:sz w:val="20"/>
        </w:rPr>
        <w:t>”), proposes to issue and sell to Northland Securities, Inc., in its capacity as underwriter (the “</w:t>
      </w:r>
      <w:r>
        <w:rPr>
          <w:rFonts w:ascii="Times New Roman" w:hAnsi="Times New Roman"/>
          <w:b/>
          <w:sz w:val="20"/>
        </w:rPr>
        <w:t>Underwriter</w:t>
      </w:r>
      <w:r>
        <w:rPr>
          <w:rFonts w:ascii="Times New Roman" w:hAnsi="Times New Roman"/>
          <w:sz w:val="20"/>
        </w:rPr>
        <w:t>”), an aggregate of 3,621,876 shares (the “</w:t>
      </w:r>
      <w:r>
        <w:rPr>
          <w:rFonts w:ascii="Times New Roman" w:hAnsi="Times New Roman"/>
          <w:b/>
          <w:sz w:val="20"/>
        </w:rPr>
        <w:t>Underwritten Shares</w:t>
      </w:r>
      <w:r>
        <w:rPr>
          <w:rFonts w:ascii="Times New Roman" w:hAnsi="Times New Roman"/>
          <w:sz w:val="20"/>
        </w:rPr>
        <w:t>”) of common stock, par value $0.0001 per share (the “</w:t>
      </w:r>
      <w:r>
        <w:rPr>
          <w:rFonts w:ascii="Times New Roman" w:hAnsi="Times New Roman"/>
          <w:b/>
          <w:sz w:val="20"/>
        </w:rPr>
        <w:t>Common Stock</w:t>
      </w:r>
      <w:r>
        <w:rPr>
          <w:rFonts w:ascii="Times New Roman" w:hAnsi="Times New Roman"/>
          <w:sz w:val="20"/>
        </w:rPr>
        <w:t>”), of the Company and, at the option of the Underwriter, up to an additional 543,281 shares of Common Stock (the “</w:t>
      </w:r>
      <w:r>
        <w:rPr>
          <w:rFonts w:ascii="Times New Roman" w:hAnsi="Times New Roman"/>
          <w:b/>
          <w:sz w:val="20"/>
        </w:rPr>
        <w:t>Option Shares</w:t>
      </w:r>
      <w:r>
        <w:rPr>
          <w:rFonts w:ascii="Times New Roman" w:hAnsi="Times New Roman"/>
          <w:sz w:val="20"/>
        </w:rPr>
        <w:t>”). The Underwritten Shares and the Option Shares are herein referred to as the “</w:t>
      </w:r>
      <w:r>
        <w:rPr>
          <w:rFonts w:ascii="Times New Roman" w:hAnsi="Times New Roman"/>
          <w:b/>
          <w:sz w:val="20"/>
        </w:rPr>
        <w:t>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hereby confirms its agreement with the Underwriter concerning the purchase and sale of the Shares,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Registration Statement</w:t>
      </w:r>
      <w:r>
        <w:rPr>
          <w:rFonts w:ascii="Times New Roman" w:hAnsi="Times New Roman"/>
          <w:sz w:val="20"/>
        </w:rPr>
        <w:t>. The Company has prepared and filed with the Securities and Exchange Commission (the “</w:t>
      </w:r>
      <w:r>
        <w:rPr>
          <w:rFonts w:ascii="Times New Roman" w:hAnsi="Times New Roman"/>
          <w:b/>
          <w:sz w:val="20"/>
        </w:rPr>
        <w:t>Commission</w:t>
      </w:r>
      <w:r>
        <w:rPr>
          <w:rFonts w:ascii="Times New Roman" w:hAnsi="Times New Roman"/>
          <w:sz w:val="20"/>
        </w:rPr>
        <w:t>”) under the Securities Act of 1933, as amended, and the rules and regulations of the Commission thereunder (collectively, the “</w:t>
      </w:r>
      <w:r>
        <w:rPr>
          <w:rFonts w:ascii="Times New Roman" w:hAnsi="Times New Roman"/>
          <w:b/>
          <w:sz w:val="20"/>
        </w:rPr>
        <w:t>Securities Act</w:t>
      </w:r>
      <w:r>
        <w:rPr>
          <w:rFonts w:ascii="Times New Roman" w:hAnsi="Times New Roman"/>
          <w:sz w:val="20"/>
        </w:rPr>
        <w:t>”), an “automatic shelf registration statement” on Form S-3ASR (File No. 333-297220), including a prospectus (including the information, if any, deemed pursuant to Rule 430A, 430B or 430C under the Securities Act to be part of the registration statement at the time of its effectiveness (“</w:t>
      </w:r>
      <w:r>
        <w:rPr>
          <w:rFonts w:ascii="Times New Roman" w:hAnsi="Times New Roman"/>
          <w:b/>
          <w:sz w:val="20"/>
        </w:rPr>
        <w:t>Rule 430 Information</w:t>
      </w:r>
      <w:r>
        <w:rPr>
          <w:rFonts w:ascii="Times New Roman" w:hAnsi="Times New Roman"/>
          <w:sz w:val="20"/>
        </w:rPr>
        <w:t>”), the “</w:t>
      </w:r>
      <w:r>
        <w:rPr>
          <w:rFonts w:ascii="Times New Roman" w:hAnsi="Times New Roman"/>
          <w:b/>
          <w:sz w:val="20"/>
        </w:rPr>
        <w:t>Registration Statement</w:t>
      </w:r>
      <w:r>
        <w:rPr>
          <w:rFonts w:ascii="Times New Roman" w:hAnsi="Times New Roman"/>
          <w:sz w:val="20"/>
        </w:rPr>
        <w:t>”) relating to the Shares. Such Registration Statement became effective upon filing pursuant to Rule 462(e) of the Securities Act. The term “</w:t>
      </w:r>
      <w:r>
        <w:rPr>
          <w:rFonts w:ascii="Times New Roman" w:hAnsi="Times New Roman"/>
          <w:b/>
          <w:sz w:val="20"/>
        </w:rPr>
        <w:t>Preliminary Prospectus</w:t>
      </w:r>
      <w:r>
        <w:rPr>
          <w:rFonts w:ascii="Times New Roman" w:hAnsi="Times New Roman"/>
          <w:sz w:val="20"/>
        </w:rPr>
        <w:t>” means each prospectus included in such Registration Statement (and any amendments thereto) before effectiveness, any prospectus filed with the Commission pursuant to Rule 424(a) under the Securities Act and the prospectus included in the Registration Statement at the time of its effectiveness that omits Rule 430 Information, and the term “</w:t>
      </w:r>
      <w:r>
        <w:rPr>
          <w:rFonts w:ascii="Times New Roman" w:hAnsi="Times New Roman"/>
          <w:b/>
          <w:sz w:val="20"/>
        </w:rPr>
        <w:t>Prospectus</w:t>
      </w:r>
      <w:r>
        <w:rPr>
          <w:rFonts w:ascii="Times New Roman" w:hAnsi="Times New Roman"/>
          <w:sz w:val="20"/>
        </w:rPr>
        <w:t>” means the prospectus in the form first used (or made available upon request of purchasers pursuant to Rule 173 under the Securities Act) in connection with confirmation of sales of the Shares. Any reference in this underwriting agreement (this “</w:t>
      </w:r>
      <w:r>
        <w:rPr>
          <w:rFonts w:ascii="Times New Roman" w:hAnsi="Times New Roman"/>
          <w:b/>
          <w:sz w:val="20"/>
        </w:rPr>
        <w:t>Agreement</w:t>
      </w:r>
      <w:r>
        <w:rPr>
          <w:rFonts w:ascii="Times New Roman" w:hAnsi="Times New Roman"/>
          <w:sz w:val="20"/>
        </w:rPr>
        <w:t>”) to the Registration Statement, any Preliminary Prospectus or the Prospectus shall be deemed to refer to and include the documents incorporated by reference therein pursuant to Item 12 of Form S-3 under the Securities Act, as of the effective date of the Registration Statement or the date of such Preliminary Prospectus or the Prospectus, as the case may be, and any reference to “amend,” “amendment” or “supplement” with respect to the Registration Statement, any Preliminary Prospectus or the Prospectus shall be deemed to refer to and include any documents filed after such date under the Securities Exchange Act of 1934, as amended, and the rules and regulations of the Commission thereunder (collectively, the “</w:t>
      </w:r>
      <w:r>
        <w:rPr>
          <w:rFonts w:ascii="Times New Roman" w:hAnsi="Times New Roman"/>
          <w:b/>
          <w:sz w:val="20"/>
        </w:rPr>
        <w:t>Exchange Act</w:t>
      </w:r>
      <w:r>
        <w:rPr>
          <w:rFonts w:ascii="Times New Roman" w:hAnsi="Times New Roman"/>
          <w:sz w:val="20"/>
        </w:rPr>
        <w:t xml:space="preserve">”) that are deemed to be incorporated by reference therein. Capitalized terms used but not defined herein shall have the meanings given to such terms in the Registration Statement and the Prospectus.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At or prior to the Applicable Time (as defined below), the Company had prepared the following information (collectively with the pricing information set forth on Annex A, the “</w:t>
      </w:r>
      <w:r>
        <w:rPr>
          <w:rFonts w:ascii="Times New Roman" w:hAnsi="Times New Roman"/>
          <w:b/>
          <w:sz w:val="20"/>
        </w:rPr>
        <w:t>Pricing Disclosure Package</w:t>
      </w:r>
      <w:r>
        <w:rPr>
          <w:rFonts w:ascii="Times New Roman" w:hAnsi="Times New Roman"/>
          <w:sz w:val="20"/>
        </w:rPr>
        <w:t xml:space="preserve">”): a Preliminary Prospectus dated July 2, 2026 and each “free-writing prospectus” (as defined pursuant to Rule 405 under the Securities Act) listed on Annex A hereto. </w:t>
      </w:r>
    </w:p>
    <w:p>
      <w:pPr>
        <w:pStyle w:val="TextBody"/>
        <w:bidi w:val="0"/>
        <w:spacing w:before="240" w:after="0"/>
        <w:jc w:val="left"/>
        <w:rPr/>
      </w:pPr>
      <w:r>
        <w:rPr/>
        <w:t>“</w:t>
      </w:r>
      <w:r>
        <w:rPr>
          <w:rFonts w:ascii="Times New Roman" w:hAnsi="Times New Roman"/>
          <w:b/>
          <w:sz w:val="20"/>
        </w:rPr>
        <w:t>Applicable Time</w:t>
      </w:r>
      <w:r>
        <w:rPr>
          <w:rFonts w:ascii="Times New Roman" w:hAnsi="Times New Roman"/>
          <w:sz w:val="20"/>
        </w:rPr>
        <w:t xml:space="preserve">” means 6:25 A.M., New York City time, on July 2, 2026.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Purchase of the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 agrees to issue and sell the Underwritten Shares to the Underwriter as provided in this Agreement, and the Underwriter, on the basis of the representations, warranties and agreements set forth herein and subject to the conditions set forth herein, agrees to purchase at a price per share of $53.0112 (the “</w:t>
      </w:r>
      <w:r>
        <w:rPr>
          <w:rFonts w:ascii="Times New Roman" w:hAnsi="Times New Roman"/>
          <w:b/>
          <w:sz w:val="20"/>
        </w:rPr>
        <w:t>Purchase Price</w:t>
      </w:r>
      <w:r>
        <w:rPr>
          <w:rFonts w:ascii="Times New Roman" w:hAnsi="Times New Roman"/>
          <w:sz w:val="20"/>
        </w:rPr>
        <w:t xml:space="preserve">”) from the Company the number of Underwritten Shares set forth opposite such Underwriter’s name in Schedule 1 hereto. </w:t>
      </w:r>
    </w:p>
    <w:p>
      <w:pPr>
        <w:pStyle w:val="TextBody"/>
        <w:bidi w:val="0"/>
        <w:spacing w:before="240" w:after="0"/>
        <w:jc w:val="left"/>
        <w:rPr>
          <w:rFonts w:ascii="Times New Roman" w:hAnsi="Times New Roman"/>
          <w:sz w:val="20"/>
        </w:rPr>
      </w:pPr>
      <w:r>
        <w:rPr>
          <w:rFonts w:ascii="Times New Roman" w:hAnsi="Times New Roman"/>
          <w:sz w:val="20"/>
        </w:rPr>
        <w:t xml:space="preserve">In addition, for the purposes of covering any over-allotments in connection with the distribution and sale of the Underwritten Shares, the Company agrees to issue and sell the Option Shares to the Underwriter as provided in this Agreement, and the Underwriter, on the basis of the representations, warranties and agreements set forth herein and subject to the conditions set forth herein, shall have the option to purchase from the Company the Option Shares at the Purchase Price less an amount per share equal to any dividends or distributions declared by the Company and payable on the Underwritten Shares but not payable on the Option Shares. If any Option Shares are to be purchased, the number of Option Shares to be purchased by the Underwriter shall be the number of Option Shares which bears the same ratio to the aggregate number of Option Shares being purchased as the number of Underwritten Shares set forth opposite the name of such Underwriter in Schedule 1 hereto (or such number increased as set forth in Section 10 hereof) bears to the aggregate number of Underwritten Shares being purchased from the Company by the Underwriter, subject, however, to such adjustments to eliminate any fractional Shares as the Underwriter in its sole discretion shall make.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 may exercise the option to purchase Option Shares for the purpose of covering over-allotments in connection with the sale of the Underwritten Shares, in whole, or from time to time in part, on or before the thirtieth day following the date of the Prospectus, by written notice from the Underwriter to the Company. Such notice shall set forth the aggregate number of Option Shares as to which the option is being exercised and the date and time when the Option Shares are to be delivered and paid for, which may be the same date and time as the Closing Date (as hereinafter defined) but shall not be earlier than the Closing Date nor later than the tenth full business day (as hereinafter defined) after the date of such notice. Any such notice shall be given at least two business days prior to the date and time of delivery specified therein. </w:t>
      </w:r>
    </w:p>
    <w:p>
      <w:pPr>
        <w:pStyle w:val="TextBody"/>
        <w:bidi w:val="0"/>
        <w:spacing w:before="240" w:after="0"/>
        <w:jc w:val="left"/>
        <w:rPr>
          <w:rFonts w:ascii="Times New Roman" w:hAnsi="Times New Roman"/>
          <w:sz w:val="20"/>
        </w:rPr>
      </w:pPr>
      <w:r>
        <w:rPr>
          <w:rFonts w:ascii="Times New Roman" w:hAnsi="Times New Roman"/>
          <w:sz w:val="20"/>
        </w:rPr>
        <w:t xml:space="preserve">(b) The Company understands that the Underwriter intends to make a public offering of the Shares, and initially to offer the Shares on the terms set forth in the Pricing Disclosure Package. The Company acknowledges and agrees that the Underwriter may offer and sell Shares to or through any affiliate of the Underwriter.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Payment for the Shares shall be made by wire transfer in immediately available funds to the account specified by the Company to the Underwriter in the case of the Underwritten Shares, at the offices of Faegre Drinker Biddle &amp; Reath LLP, counsel for the Underwriter, at 2200 Wells Fargo Center 90 S. Seventh Street, Minneapolis, Minnesota 55402 at 10:00 A.M. New York City time on July 6, 2026, or at such other time or place on the same or such other date, not later than the fifth business day thereafter, as the Underwriter and the Company may agree upon in writing or, in the case of the Option Shares, on the date and at the time and place specified by the Underwriter in the written notice of the Underwriter’s election to purchase such Option Shares. The time and date of such payment for the Underwritten Shares is referred to herein as the “</w:t>
      </w:r>
      <w:r>
        <w:rPr>
          <w:rFonts w:ascii="Times New Roman" w:hAnsi="Times New Roman"/>
          <w:b/>
          <w:sz w:val="20"/>
        </w:rPr>
        <w:t>Closing Date</w:t>
      </w:r>
      <w:r>
        <w:rPr>
          <w:rFonts w:ascii="Times New Roman" w:hAnsi="Times New Roman"/>
          <w:sz w:val="20"/>
        </w:rPr>
        <w:t>,” and the time and date for such payment for the Option Shares, if other than the Closing Date, is herein referred to as the “</w:t>
      </w:r>
      <w:r>
        <w:rPr>
          <w:rFonts w:ascii="Times New Roman" w:hAnsi="Times New Roman"/>
          <w:b/>
          <w:sz w:val="20"/>
        </w:rPr>
        <w:t>Additional Closing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Payment for the Shares to be purchased on the Closing Date or the Additional Closing Date, as the case may be, shall be made against delivery to the Underwriter for the respective accounts of the Underwriter of the Shares to be purchased on the Closing Date or the Additional Closing Date, as the case may be, with any transfer taxes payable in connection with the sale of such Shares duly paid by the Company. Delivery of the Shares shall be made through the facilities of The Depository Trust Company (“</w:t>
      </w:r>
      <w:r>
        <w:rPr>
          <w:rFonts w:ascii="Times New Roman" w:hAnsi="Times New Roman"/>
          <w:b/>
          <w:sz w:val="20"/>
        </w:rPr>
        <w:t>DTC</w:t>
      </w:r>
      <w:r>
        <w:rPr>
          <w:rFonts w:ascii="Times New Roman" w:hAnsi="Times New Roman"/>
          <w:sz w:val="20"/>
        </w:rPr>
        <w:t xml:space="preserve">”) unless the Underwriter shall otherwise instruct. </w:t>
      </w:r>
    </w:p>
    <w:p>
      <w:pPr>
        <w:pStyle w:val="TextBody"/>
        <w:bidi w:val="0"/>
        <w:spacing w:before="240" w:after="0"/>
        <w:jc w:val="left"/>
        <w:rPr>
          <w:rFonts w:ascii="Times New Roman" w:hAnsi="Times New Roman"/>
          <w:sz w:val="20"/>
        </w:rPr>
      </w:pPr>
      <w:r>
        <w:rPr>
          <w:rFonts w:ascii="Times New Roman" w:hAnsi="Times New Roman"/>
          <w:sz w:val="20"/>
        </w:rPr>
        <w:t xml:space="preserve">(d) The Company acknowledges and agrees that the Underwriter is acting solely in the capacity of an arm’s length contractual counterparty to the Company with respect to the offering of Shares contemplated hereby (including in connection with determining the terms of the offering) and not as a financial advisor or a fiduciary to, or an agent of, the Company or any other person. Additionally, the Underwriter is not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Underwriter shall not have any responsibility or liability to the Company with respect thereto. Any review by the Underwriter of the Company, the transactions contemplated hereby or other matters relating to such transactions will be performed solely for the benefit of the Underwriter and shall not be on behalf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Representations and Warranties of the Company</w:t>
      </w:r>
      <w:r>
        <w:rPr>
          <w:rFonts w:ascii="Times New Roman" w:hAnsi="Times New Roman"/>
          <w:sz w:val="20"/>
        </w:rPr>
        <w:t xml:space="preserve">. The Company represents and warrants to the Underwriter that: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Preliminary Prospectus.</w:t>
      </w:r>
      <w:r>
        <w:rPr>
          <w:rFonts w:ascii="Times New Roman" w:hAnsi="Times New Roman"/>
          <w:sz w:val="20"/>
        </w:rPr>
        <w:t xml:space="preserve"> No order preventing or suspending the use of any Preliminary Prospectus has been issued by the Commission, and each Preliminary Prospectus included in the Pricing Disclosure Package, at the time of filing thereof, complied in all material respects with the Securities Act, and no Preliminary Prospectus, at the time of filing thereof, contained any untrue statement of a material fact or omitted to state a material fact necessary in order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the Company makes no representation or warranty with respect to any statements or omissions made in reliance upon and in conformity with information relating to the Underwriter furnished to the Company in writing by the Underwriter expressly for use in any Preliminary Prospectus, it being understood and agreed that the only such information furnished by the Underwriter consists of the information described as such in Section 7(b)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Pricing Disclosure Package</w:t>
      </w:r>
      <w:r>
        <w:rPr>
          <w:rFonts w:ascii="Times New Roman" w:hAnsi="Times New Roman"/>
          <w:sz w:val="20"/>
        </w:rPr>
        <w:t xml:space="preserve">. The Pricing Disclosure Package as of the Applicable Time did not, and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the Company makes no representation or warranty with respect to any statements or omissions made in reliance upon and in conformity with information relating to the Underwriter furnished to the Company in writing by the Underwriter expressly for use in such Pricing Disclosure Package, it being understood and agreed that the only such information furnished by the Underwriter consists of the information described as such in Section 7(b) hereof. No statement of material fact included in the Prospectus has been omitted from the Pricing Disclosure Package and no statement of material fact included in the Pricing Disclosure Package that is required to be included in the Prospectus has been omitted therefrom.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Issuer Free Writing Prospectus. </w:t>
      </w:r>
      <w:r>
        <w:rPr>
          <w:rFonts w:ascii="Times New Roman" w:hAnsi="Times New Roman"/>
          <w:sz w:val="20"/>
        </w:rPr>
        <w:t>Other than the Registration Statement, the Preliminary Prospectus and the Prospectus, the Company (including its agents and representatives, other than the Underwriter in its capacity as such) has not prepared, made, used, authorized, approved or referred to and will not prepare, make, use, authorize, approve or refer to any “written communication” (as defined in Rule 405 under the Securities Act) that constitutes an offer to sell or a solicitation of an offer to buy the Shares (each such communication by the Company or its agents and representatives (other than a communication referred to in clause (i) below) an “</w:t>
      </w:r>
      <w:r>
        <w:rPr>
          <w:rFonts w:ascii="Times New Roman" w:hAnsi="Times New Roman"/>
          <w:b/>
          <w:sz w:val="20"/>
        </w:rPr>
        <w:t>Issuer Free Writing Prospectus</w:t>
      </w:r>
      <w:r>
        <w:rPr>
          <w:rFonts w:ascii="Times New Roman" w:hAnsi="Times New Roman"/>
          <w:sz w:val="20"/>
        </w:rPr>
        <w:t xml:space="preserve">”) other than (i) any document not constituting a prospectus pursuant to Section 2(a)(10)(a) of the Securities Act or Rule 134 under the Securities Act or (ii) the documents listed on Annex A hereto, each electronic road show and any other written communications approved in writing in advance by the Underwriter. Each such Issuer Free Writing Prospectus complies in all material respects with the Securities Act, has been or will be (within the time period specified in Rule 433) filed in accordance with the Securities Act (to the extent required thereby) and does not conflict with the information contained in the Registration Statement or the Pricing Disclosure Package, and, when taken together with the Preliminary Prospectus, accompanying, or delivered prior to delivery of such Issuer Free Writing Prospectus, did not, and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the Company makes no representation or warranty with respect to any statements or omissions made in each such Issuer Free Writing Prospectus or Preliminary Prospectus in reliance upon and in conformity with information relating to the Underwriter furnished to the Company in writing by the Underwriter expressly for use in such Issuer Free Writing Prospectus or Preliminary Prospectus, it being understood and agreed that the only such information furnished by the Underwriter consists of the information described as such in Section 7(b)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 xml:space="preserve">Testing-the-Waters Materials. </w:t>
      </w:r>
      <w:r>
        <w:rPr>
          <w:rFonts w:ascii="Times New Roman" w:hAnsi="Times New Roman"/>
          <w:sz w:val="20"/>
        </w:rPr>
        <w:t>Prior to the latest of (i) the expiration or termination of the option granted to the Underwriter in Section 2 and (ii) the completion of the Underwriter’s distribution of the Shares, the Company has not distributed and will not distribute any offering material in connection with the offering and sale of the Shares other than the Registration Statement, the Pricing Disclosure Package, the Prospectus or any free writing prospectus reviewed and consented to by the Underwriter, which consent shall not be unreasonably withheld, the free writing prospectuses, if any, identified on Annex A hereto and any oral or written communication with potential investors undertaken in reliance on either Section 5(d) of, or Rule 163B under, the Securities Act (each, a “</w:t>
      </w:r>
      <w:r>
        <w:rPr>
          <w:rFonts w:ascii="Times New Roman" w:hAnsi="Times New Roman"/>
          <w:b/>
          <w:sz w:val="20"/>
        </w:rPr>
        <w:t>Testing-the-Waters Communication</w:t>
      </w:r>
      <w:r>
        <w:rPr>
          <w:rFonts w:ascii="Times New Roman" w:hAnsi="Times New Roman"/>
          <w:sz w:val="20"/>
        </w:rPr>
        <w:t>” and, if a written communication, a “</w:t>
      </w:r>
      <w:r>
        <w:rPr>
          <w:rFonts w:ascii="Times New Roman" w:hAnsi="Times New Roman"/>
          <w:b/>
          <w:sz w:val="20"/>
        </w:rPr>
        <w:t>Written Testing-the-Waters Communication</w:t>
      </w:r>
      <w:r>
        <w:rPr>
          <w:rFonts w:ascii="Times New Roman" w:hAnsi="Times New Roman"/>
          <w:sz w:val="20"/>
        </w:rPr>
        <w:t xml:space="preserve">”). The Company has not distributed or approved for distribution any Written Testing-the-Waters Communications other than those listed on Annex B hereto. Each Written Testing-the-Waters Communication, when considered together with the Pricing Disclosure Package, did not, as of the Applicable Time, contain any untrue statement of a material fact or omit to state a material fact necessary to make the statements therein, in the light of the circumstances under which they were made, not misleading.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Registration Statement and Prospectus.</w:t>
      </w:r>
      <w:r>
        <w:rPr>
          <w:rFonts w:ascii="Times New Roman" w:hAnsi="Times New Roman"/>
          <w:sz w:val="20"/>
        </w:rPr>
        <w:t xml:space="preserve"> The Registration Statement became effective pursuant to Section 8(a) of the Securities Act. No order suspending the effectiveness of the Registration Statement has been issued by the Commission, and no proceeding for that purpose or pursuant to Section 8A of the Securities Act against the Company or related to the offering of the Shares has been initiated or threatened by the Commission; as of the applicable effective date of the Registration Statement and any post-effective amendment thereto, the Registration Statement and any such post-effective amendment complied and will comply in all material respects with the Securities Act,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and as of the Additional Closing Date, as the case may be, the Prospectus will comply in all material respects with the Securities Act and will not contain any untrue statement of a material fact or omit to state a material fact necessary in order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the Company makes no representation or warranty with respect to any statements or omissions made in reliance upon and in conformity with information relating to the Underwriter furnished to the Company in writing by the Underwriter expressly for use in the Registration Statement and the Prospectus and any amendment or supplement thereto, it being understood and agreed that the only such information furnished by the Underwriter consists of the information described as such in Section 7(b) hereof.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Conformity with Securities Act and Exchange Act.</w:t>
      </w:r>
      <w:r>
        <w:rPr>
          <w:rFonts w:ascii="Times New Roman" w:hAnsi="Times New Roman"/>
          <w:sz w:val="20"/>
        </w:rPr>
        <w:t xml:space="preserve"> The Registration Statement, the Pricing Disclosure Package, the Prospectus, any Issuer Free Writing Prospectus and any amendment or supplement thereto, and the documents incorporated by reference in the Registration Statement, the Pricing Disclosure Package and the Prospectus, when such documents were or are filed with the Commission under the Securities Act or the Exchange Act or became or become effective under the Securities Act, as the case may be, conformed or will conform in all material respects with the requirements of the Securities Act and the Exchange Act,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Financial Information.</w:t>
      </w:r>
      <w:r>
        <w:rPr>
          <w:rFonts w:ascii="Times New Roman" w:hAnsi="Times New Roman"/>
          <w:sz w:val="20"/>
        </w:rPr>
        <w:t xml:space="preserve"> The consolidated financial statements of the Company included or incorporated by reference in the Registration Statement, the Pricing Disclosure Package and the Prospectus, together with the related notes and schedules, present fairly, in all material respects, the consolidated financial position of the Company and its Subsidiaries as of the dates indicated and the consolidated results of operations, cash flows and changes in stockholders’ equity of the Company and its Subsidiaries for the periods specified (subject, in the case of unaudited statements, to normal year-end audit adjustments which will not be material, either individually or in the aggregate) and have been prepared in compliance with the published requirements of the Securities Act and the Exchange Act, as applicable, and in conformity with generally accepted accounting principles in the United States (“</w:t>
      </w:r>
      <w:r>
        <w:rPr>
          <w:rFonts w:ascii="Times New Roman" w:hAnsi="Times New Roman"/>
          <w:b/>
          <w:sz w:val="20"/>
        </w:rPr>
        <w:t>GAAP</w:t>
      </w:r>
      <w:r>
        <w:rPr>
          <w:rFonts w:ascii="Times New Roman" w:hAnsi="Times New Roman"/>
          <w:sz w:val="20"/>
        </w:rPr>
        <w:t xml:space="preserve">”) applied on a consistent basis (except (i) for such adjustments to accounting standards and practices as are noted therein and (ii) in the case of unaudited interim statements, to the extent they may exclude footnotes or may be condensed or summary statements) during the periods involved; the other financial and statistical data with respect to the Company and its Subsidiaries contained or incorporated by reference in the Registration Statement, the Pricing Disclosure Package and the Prospectus are accurately and fairly presented in all material respects and prepared on a basis consistent with the financial statements and books and records of the Company; there are no financial statements (historical or pro forma) that are required to be included or incorporated by reference in the Registration Statement, the Pricing Disclosure Package or the Prospectus that are not included or incorporated by reference as required; the Company and its Subsidiaries do not have any material liabilities or obligations, direct or contingent (including any off balance sheet obligations), not described in the Registration Statement, the Pricing Disclosure Package and the Prospectus which are required to be described in the Registration Statement, the Pricing Disclosure Package or the Prospectus; and all disclosures contained or incorporated by reference in the Registration Statement, the Pricing Disclosure Package and the Prospectus, if any, regarding “non-GAAP financial measures” (as such term is defined by the rules and regulations of the Commission) comply in all material respects with Regulation G of the Exchange Act and Item 10 of Regulation S-K under the Securities Act, to the extent applicable.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Organization.</w:t>
      </w:r>
      <w:r>
        <w:rPr>
          <w:rFonts w:ascii="Times New Roman" w:hAnsi="Times New Roman"/>
          <w:sz w:val="20"/>
        </w:rPr>
        <w:t xml:space="preserve"> The Company and any subsidiary that is a significant subsidiary (as such term is defined in Rule 1-02 of Regulation S-X promulgated by the Commission) (each, a “</w:t>
      </w:r>
      <w:r>
        <w:rPr>
          <w:rFonts w:ascii="Times New Roman" w:hAnsi="Times New Roman"/>
          <w:b/>
          <w:sz w:val="20"/>
        </w:rPr>
        <w:t>Subsidiary</w:t>
      </w:r>
      <w:r>
        <w:rPr>
          <w:rFonts w:ascii="Times New Roman" w:hAnsi="Times New Roman"/>
          <w:sz w:val="20"/>
        </w:rPr>
        <w:t>,” and collectively, the “</w:t>
      </w:r>
      <w:r>
        <w:rPr>
          <w:rFonts w:ascii="Times New Roman" w:hAnsi="Times New Roman"/>
          <w:b/>
          <w:sz w:val="20"/>
        </w:rPr>
        <w:t>Subsidiaries</w:t>
      </w:r>
      <w:r>
        <w:rPr>
          <w:rFonts w:ascii="Times New Roman" w:hAnsi="Times New Roman"/>
          <w:sz w:val="20"/>
        </w:rPr>
        <w:t xml:space="preserve">”), are, and will be, duly organized and validly existing as a corporation and, except as would not, individually or in the aggregate, reasonably be expected to have a Material Adverse Effect, are and will be in good standing (where such concept exists) under the laws of their respective jurisdictions of organization. The Company and the Subsidiaries are duly licensed or qualified as a foreign corporation for transaction of business and in good standing under the laws of each other jurisdiction in which their respective ownership or lease of property or the conduct of their respective businesses requires such license or qualification, and have all corporate power and authority necessary to own or hold their respective properties and to conduct their respective businesses as described in the Registration Statement and the Prospectus, except where the failure to be so qualified or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good standing or have such power or authority would not, individually or in the aggregate, have a material adverse effect on the assets, business, operations, earnings, properties, condition (financial or otherwise), prospects, stockholders’ equity or results of operations of the Company and the Subsidiaries taken as a whole, or prevent the consummation of the transactions contemplated hereby (a “</w:t>
      </w:r>
      <w:r>
        <w:rPr>
          <w:rFonts w:ascii="Times New Roman" w:hAnsi="Times New Roman"/>
          <w:b/>
          <w:sz w:val="20"/>
        </w:rPr>
        <w:t>Material Adverse Effect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Subsidiaries</w:t>
      </w:r>
      <w:r>
        <w:rPr>
          <w:rFonts w:ascii="Times New Roman" w:hAnsi="Times New Roman"/>
          <w:sz w:val="20"/>
        </w:rPr>
        <w:t xml:space="preserve">. The Company owns directly or indirectly, all of the equity interests of the Subsidiaries free and clear of any lien, charge, security interest, encumbrance, right of first refusal or other restriction, and all the equity interests of the Subsidiaries are validly issued and are fully paid, nonassessable and free of preemptive and similar rights. The Company does not own or control, directly or indirectly, any corporation, association or other entity other than the Subsidiaries listed in Exhibit 21.1 to the Company’s Annual Report on Form 10-K for the most recently ended fiscal year and other than (i) those Subsidiaries not required to be listed on Exhibit 21.1 by Item 601 of Regulation S-K under the Exchange Act and (ii) those Subsidiaries formed since the last day of the most recently ended fiscal year.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No Violation or Default.</w:t>
      </w:r>
      <w:r>
        <w:rPr>
          <w:rFonts w:ascii="Times New Roman" w:hAnsi="Times New Roman"/>
          <w:sz w:val="20"/>
        </w:rPr>
        <w:t xml:space="preserve"> Neither the Company nor any Subsidiary is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similar agreement or instrument to which the Company or any Subsidiary is a party or by which the Company or any Subsidiary is bound or to which any of the property or assets of the Company or any Subsidiary is subject; or (iii) in violation of any law or statute or any judgment, order, rule or regulation of any court or arbitrator or governmental or regulatory authority, except, in the case of each of clauses (ii) and (iii) above, for any such violation or default that would not, individually or in the aggregate, reasonably be expected to have a Material Adverse Effect. To the Company’s knowledge, no other party under any material contract or other agreement to which it or any Subsidiary is a party is in default in any respect thereunder where such default would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No Material Adverse Effect.</w:t>
      </w:r>
      <w:r>
        <w:rPr>
          <w:rFonts w:ascii="Times New Roman" w:hAnsi="Times New Roman"/>
          <w:sz w:val="20"/>
        </w:rPr>
        <w:t xml:space="preserve"> Since the date of the most recent financial statements of the Company included or incorporated by reference in the Registration Statement, the Pricing Disclosure Package and the Prospectus, there has not been (i) any Material Adverse Effect, or any development that would reasonably be expected to result in a Material Adverse Effect, (ii) any transaction which is material to the Company and its Subsidiaries taken as a whole, (iii) any obligation or liability, direct or contingent (including any off-balance sheet obligations), incurred by the Company or its Subsidiaries, which is material to the Company and its Subsidiaries taken as a whole, (iv) any material change in the capital stock (other than (A) the grant of additional options or awards under the Company’s stock option plans described in the Registration Statement, the Pricing Disclosure Package or the Prospectus, (B) changes in the number of outstanding shares of Common Stock of the Company due to the issuance of shares upon the exercise or conversion of securities exercisable for, or convertible into, Common Stock described in the Registration Statement, the Pricing Disclosure Package or the Prospectus, (C) as a result of the issuance of the Shares, (D) any repurchases of capital stock of the Company, (E)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described in a proxy statement filed on Schedule 14A or a Registration Statement on Form S-4, or (F) otherwise publicly announced) or outstanding long-term indebtedness of the Company or its Subsidiaries or (v) any dividend or distribution of any kind declared, paid or made on the capital stock of the Company or any Subsidiary, other than in each case above in the ordinary course of business or as otherwise disclosed in the Registration Statement, the Pricing Disclosure Package or the Prospectus (including any document incorporated by reference therein).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Capitalization.</w:t>
      </w:r>
      <w:r>
        <w:rPr>
          <w:rFonts w:ascii="Times New Roman" w:hAnsi="Times New Roman"/>
          <w:sz w:val="20"/>
        </w:rPr>
        <w:t xml:space="preserve"> The issued and outstanding shares of capital stock of the Company have been validly issued, are fully paid and non-assessable and, other than as disclosed in the Registration Statement, the Pricing Disclosure Package or the Prospectus, are not subject to any preemptive rights, rights of first refusal or similar rights. The Company has an authorized, issued and outstanding capitalization as set forth in the Registration Statement, the Pricing Disclosure Package and the Prospectus as of the dates referred to therein (other than (i) the grant of additional options or awards under the Company’s stock option plans described in the Registration Statement, the Pricing Disclosure Package or the Prospectus, (ii) changes in the number of outstanding shares of Common Stock of the Company due to the issuance of shares upon the exercise or conversion of securities exercisable for, or convertible into, Common Stock described in the Registration Statement, the Pricing Disclosure Package or the Prospectus, (iii) as a result of the issuance of the Shares, or (iv) any repurchases of capital stock of the Company) and such authorized capital stock conforms in all material respects to the description thereof set forth in the Registration Statement, the Pricing Disclosure Package and the Prospectus. The description of the Common Stock in the Registration Statement, the Pricing Disclosure Package and the Prospectus is complete and accurate in all material respects.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 xml:space="preserve">Stock Options. </w:t>
      </w:r>
      <w:r>
        <w:rPr>
          <w:rFonts w:ascii="Times New Roman" w:hAnsi="Times New Roman"/>
          <w:sz w:val="20"/>
        </w:rPr>
        <w:t xml:space="preserve">Each stock option granted by the Company under the Company’s equity incentive plans was granted (i) in accordance with the terms of the Company’s stock option plan and (ii) with an exercise price at least equal to the fair market value of the Common Stock on the date such stock option would be considered granted under GAAP and applicable law. No stock option granted under the Company’s equity incentive plans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 </w:t>
      </w:r>
    </w:p>
    <w:p>
      <w:pPr>
        <w:pStyle w:val="TextBody"/>
        <w:bidi w:val="0"/>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Authorization; Enforceability.</w:t>
      </w:r>
      <w:r>
        <w:rPr>
          <w:rFonts w:ascii="Times New Roman" w:hAnsi="Times New Roman"/>
          <w:sz w:val="20"/>
        </w:rPr>
        <w:t xml:space="preserve"> The Company has full legal right, power and authority to enter into this Agreement and perform the transactions contemplated hereby, and all action required to be taken for the due and proper authorization, execution and delivery by it of this Agreement and the consummation by it of the transactions contemplated hereby has been duly and validly taken.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 </w:t>
      </w:r>
      <w:r>
        <w:rPr>
          <w:rFonts w:ascii="Times New Roman" w:hAnsi="Times New Roman"/>
          <w:i/>
          <w:sz w:val="20"/>
        </w:rPr>
        <w:t xml:space="preserve">Underwriting Agreement. </w:t>
      </w:r>
      <w:r>
        <w:rPr>
          <w:rFonts w:ascii="Times New Roman" w:hAnsi="Times New Roman"/>
          <w:sz w:val="20"/>
        </w:rPr>
        <w:t xml:space="preserve">This Agreement has been duly authorized, executed and delivered by the Company and, assuming the due authorization, execution and delivery of this Agreement by the Underwriter, is a legal, valid and binding agreement of the Company enforceable against the Company in accordance with its terms, except to the extent that (i) enforceability may be limited by bankruptcy, insolvency, reorganization, moratorium or similar laws affecting creditors’ rights generally and by general equitable principles and (ii) the indemnification and contribution provisions of Section 7 hereof may be limited by federal or state securities laws and public policy considerations in respect thereof. </w:t>
      </w:r>
    </w:p>
    <w:p>
      <w:pPr>
        <w:pStyle w:val="TextBody"/>
        <w:bidi w:val="0"/>
        <w:spacing w:before="120" w:after="0"/>
        <w:jc w:val="left"/>
        <w:rPr>
          <w:rFonts w:ascii="Times New Roman" w:hAnsi="Times New Roman"/>
          <w:sz w:val="20"/>
        </w:rPr>
      </w:pPr>
      <w:r>
        <w:rPr>
          <w:rFonts w:ascii="Times New Roman" w:hAnsi="Times New Roman"/>
          <w:sz w:val="20"/>
        </w:rPr>
        <w:t xml:space="preserve">(p) </w:t>
      </w:r>
      <w:r>
        <w:rPr>
          <w:rFonts w:ascii="Times New Roman" w:hAnsi="Times New Roman"/>
          <w:i/>
          <w:sz w:val="20"/>
        </w:rPr>
        <w:t>No Consents Required.</w:t>
      </w:r>
      <w:r>
        <w:rPr>
          <w:rFonts w:ascii="Times New Roman" w:hAnsi="Times New Roman"/>
          <w:sz w:val="20"/>
        </w:rPr>
        <w:t xml:space="preserve"> No consent, approval, authorization, order, registration or qualification of or with any court or arbitrator or any governmental or regulatory authority having jurisdiction over the Company is required for the execution, delivery and performance by the Company of this Agreement, and the issuance and sale by the Company of the Shares as contemplated hereby, except for such consents, approvals, authorizations, orders and registrations or qualifications (i) as may be required under applicable state securities laws or by the by-laws and rules of the Financial Industry Regulatory Authority (“</w:t>
      </w:r>
      <w:r>
        <w:rPr>
          <w:rFonts w:ascii="Times New Roman" w:hAnsi="Times New Roman"/>
          <w:b/>
          <w:sz w:val="20"/>
        </w:rPr>
        <w:t>FINRA</w:t>
      </w:r>
      <w:r>
        <w:rPr>
          <w:rFonts w:ascii="Times New Roman" w:hAnsi="Times New Roman"/>
          <w:sz w:val="20"/>
        </w:rPr>
        <w:t xml:space="preserve">”) or Nasdaq, including any notices that may be required by Nasdaq, in connection with the purchase and distribution of the Shares by the Underwriter, (ii) as may be required under the Securities Act and (iii) as have been previously obtained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(q) </w:t>
      </w:r>
      <w:r>
        <w:rPr>
          <w:rFonts w:ascii="Times New Roman" w:hAnsi="Times New Roman"/>
          <w:i/>
          <w:sz w:val="20"/>
        </w:rPr>
        <w:t>No Preferential Rights</w:t>
      </w:r>
      <w:r>
        <w:rPr>
          <w:rFonts w:ascii="Times New Roman" w:hAnsi="Times New Roman"/>
          <w:sz w:val="20"/>
        </w:rPr>
        <w:t>. (i) No person, as such term is defined in Rule 1-02 of Regulation S-X promulgated under the Securities Act (each, a “</w:t>
      </w:r>
      <w:r>
        <w:rPr>
          <w:rFonts w:ascii="Times New Roman" w:hAnsi="Times New Roman"/>
          <w:b/>
          <w:sz w:val="20"/>
        </w:rPr>
        <w:t>Person</w:t>
      </w:r>
      <w:r>
        <w:rPr>
          <w:rFonts w:ascii="Times New Roman" w:hAnsi="Times New Roman"/>
          <w:sz w:val="20"/>
        </w:rPr>
        <w:t xml:space="preserve">”), has the right, contractual or otherwise, to cause the Company to issue or sell to such Person any Common Stock or shares of any other capital stock or other securities of the Company (other than upon the exercise of options or warrants to purchase Common Stock or upon the exercise of options that may be granted from time to time under the Company’s stock option plan), (ii) no Person has any preemptive rights, rights of first refusal, or any other rights (whether pursuant to a “poison pill” provision or otherwise) to purchase any Common Stock or shares of any other capital stock or other securities of the Company from the Company which have not been duly waived with respect to the offering contemplated hereby, (iii) no Person has the right to act as an underwriter or as a financial advisor to the Company in connection with the offer and sale of the Shares, and (iv) no Person has the right, contractual or otherwise, to require the Company to register under the Securities Act any Common Stock or shares of any other capital stock or other securities of the Company, or to include any such shares or other securities in the Registration Statement or the offering contemplated thereby, whether as a result of the filing or effectiveness of the Registration Statement or the sale of the Shares as contemplated thereby or otherwise, except in each case for such rights as have been waived on or prior to the date hereof. </w:t>
      </w:r>
    </w:p>
    <w:p>
      <w:pPr>
        <w:pStyle w:val="TextBody"/>
        <w:bidi w:val="0"/>
        <w:spacing w:before="120" w:after="0"/>
        <w:jc w:val="left"/>
        <w:rPr>
          <w:rFonts w:ascii="Times New Roman" w:hAnsi="Times New Roman"/>
          <w:sz w:val="20"/>
        </w:rPr>
      </w:pPr>
      <w:r>
        <w:rPr>
          <w:rFonts w:ascii="Times New Roman" w:hAnsi="Times New Roman"/>
          <w:sz w:val="20"/>
        </w:rPr>
        <w:t xml:space="preserve">(r) </w:t>
      </w:r>
      <w:r>
        <w:rPr>
          <w:rFonts w:ascii="Times New Roman" w:hAnsi="Times New Roman"/>
          <w:i/>
          <w:sz w:val="20"/>
        </w:rPr>
        <w:t>Independent Accountants</w:t>
      </w:r>
      <w:r>
        <w:rPr>
          <w:rFonts w:ascii="Times New Roman" w:hAnsi="Times New Roman"/>
          <w:sz w:val="20"/>
        </w:rPr>
        <w:t>. PricewaterhouseCoopers LLP (the “</w:t>
      </w:r>
      <w:r>
        <w:rPr>
          <w:rFonts w:ascii="Times New Roman" w:hAnsi="Times New Roman"/>
          <w:b/>
          <w:sz w:val="20"/>
        </w:rPr>
        <w:t>Accountant</w:t>
      </w:r>
      <w:r>
        <w:rPr>
          <w:rFonts w:ascii="Times New Roman" w:hAnsi="Times New Roman"/>
          <w:sz w:val="20"/>
        </w:rPr>
        <w:t xml:space="preserve">”), whose report on the consolidated financial statements of the Company is filed with the Commission as part of the Company’s most recent Annual Report on Form 10-K filed with the Commission and incorporated into the Registration Statement, the Pricing Disclosure Package and the Prospectus, are and, during the periods covered by their report, were independent public accountants within the meaning of the Securities Act and the Public Company Accounting Oversight Board (United States). To the Company’s knowledge, the Accountant is not in violation of the auditor independence requirements of the Sarbanes-Oxley Act of 2002 with respect to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 </w:t>
      </w:r>
      <w:r>
        <w:rPr>
          <w:rFonts w:ascii="Times New Roman" w:hAnsi="Times New Roman"/>
          <w:i/>
          <w:sz w:val="20"/>
        </w:rPr>
        <w:t>Enforceability of Agreements</w:t>
      </w:r>
      <w:r>
        <w:rPr>
          <w:rFonts w:ascii="Times New Roman" w:hAnsi="Times New Roman"/>
          <w:sz w:val="20"/>
        </w:rPr>
        <w:t xml:space="preserve">. All agreements between the Company and third parties filed as exhibits to documents incorporated by reference into the Registration Statement and the Prospectus, other than such agreements that have expired by their terms or whose termination is disclosed in documents filed by the Company on EDGAR, are, assuming the due authorization, execution and delivery of such agreements by the respective counterparties, legal, valid and binding obligations of the Company and, to the Company’s knowledge, enforceable in accordance with their respective terms, except to the extent that (i) enforceability may be limited by bankruptcy, insolvency, reorganization, moratorium or similar laws affecting creditors’ rights generally and by general equitable principles and (ii) the indemnification provisions of certain agreements may be limited by federal or state securities laws or public policy considerations in respect thereof, and except for any unenforceability that, individually or in the aggregate, would not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(t) </w:t>
      </w:r>
      <w:r>
        <w:rPr>
          <w:rFonts w:ascii="Times New Roman" w:hAnsi="Times New Roman"/>
          <w:i/>
          <w:sz w:val="20"/>
        </w:rPr>
        <w:t>No Litigation.</w:t>
      </w:r>
      <w:r>
        <w:rPr>
          <w:rFonts w:ascii="Times New Roman" w:hAnsi="Times New Roman"/>
          <w:sz w:val="20"/>
        </w:rPr>
        <w:t xml:space="preserve"> There are no legal or governmental proceedings pending or, to the Company’s knowledge, threatened to which the Company or any Subsidiary is a party or to which any of the properties of the Company or any Subsidiary is subject (i) other than proceedings accurately described in all material respects in the Registration Statement, the Pricing Disclosure Package and the Prospectus and proceedings that would not reasonably be expected to have a Material Adverse Effect on the Company and its Subsidiaries, taken as a whole, or on the power or ability of the Company to perform its obligations under this Agreement or to consummate the transactions contemplated by the Registration Statement, the Pricing Disclosure Package and the Prospectus or (ii) that are required to be described in the Registration Statement or the Prospectus and are not so described; and there are no statutes, regulations, contracts or other documents that are required to be described in the Registration Statement or the Prospectus or to be filed as exhibits to the Registration Statement that are not described or filed as required. </w:t>
      </w:r>
    </w:p>
    <w:p>
      <w:pPr>
        <w:pStyle w:val="TextBody"/>
        <w:bidi w:val="0"/>
        <w:spacing w:before="120" w:after="0"/>
        <w:jc w:val="left"/>
        <w:rPr>
          <w:rFonts w:ascii="Times New Roman" w:hAnsi="Times New Roman"/>
          <w:sz w:val="20"/>
        </w:rPr>
      </w:pPr>
      <w:r>
        <w:rPr>
          <w:rFonts w:ascii="Times New Roman" w:hAnsi="Times New Roman"/>
          <w:sz w:val="20"/>
        </w:rPr>
        <w:t xml:space="preserve">(u) </w:t>
      </w:r>
      <w:r>
        <w:rPr>
          <w:rFonts w:ascii="Times New Roman" w:hAnsi="Times New Roman"/>
          <w:i/>
          <w:sz w:val="20"/>
        </w:rPr>
        <w:t>Licenses and Permits</w:t>
      </w:r>
      <w:r>
        <w:rPr>
          <w:rFonts w:ascii="Times New Roman" w:hAnsi="Times New Roman"/>
          <w:sz w:val="20"/>
        </w:rPr>
        <w:t>. The Company and its Subsidiaries possess or have obtained, all licenses, certificates, consents, orders, approvals, permits and other authorizations issued by, and have made all declarations and filings with, the appropriate federal, state, local or foreign governmental or regulatory authorities that are necessary for the ownership or lease of their respective properties or the conduct of their respective businesses as currently conducted, as described in the Registration Statement, the Pricing Disclosure Package and the Prospectus (the “</w:t>
      </w:r>
      <w:r>
        <w:rPr>
          <w:rFonts w:ascii="Times New Roman" w:hAnsi="Times New Roman"/>
          <w:b/>
          <w:sz w:val="20"/>
        </w:rPr>
        <w:t>Permits</w:t>
      </w:r>
      <w:r>
        <w:rPr>
          <w:rFonts w:ascii="Times New Roman" w:hAnsi="Times New Roman"/>
          <w:sz w:val="20"/>
        </w:rPr>
        <w:t xml:space="preserve">”), except where the failure to possess, obtain or make the same would not, individually or in the aggregate, reasonably be expected to have a Material Adverse Effect. Neither the Company nor any Subsidiary has received written notice of any proceeding relating to revocation or modification of any such Permit or has any reason to believe that such Permit will not be renewed in the ordinary course, except where the failure to obtain any such renewal would not, individually or in the aggregate, reasonably be expected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w:t>
      </w:r>
      <w:r>
        <w:rPr>
          <w:rFonts w:ascii="Times New Roman" w:hAnsi="Times New Roman"/>
          <w:i/>
          <w:sz w:val="20"/>
        </w:rPr>
        <w:t>No Material Defaults</w:t>
      </w:r>
      <w:r>
        <w:rPr>
          <w:rFonts w:ascii="Times New Roman" w:hAnsi="Times New Roman"/>
          <w:sz w:val="20"/>
        </w:rPr>
        <w:t xml:space="preserve">. Neither the Company nor any Subsidiary has defaulted on any installment on indebtedness for borrowed money or on any rental on one or more long-term leases, which defaults, individually or in the aggregate, would reasonably be expected to have a Material Adverse Effect. The Company has not filed a report pursuant to Section 13(a) or 15(d) of the Exchange Act since the filing of its last Annual Report on Form 10-K, indicating that it (i) has failed to pay any dividend or sinking fund installment on preferred stock or (ii) has defaulted on any installment on indebtedness for borrowed money or on any rental on one or more long-term leases, which defaults, individually or in the aggregate, would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(w) </w:t>
      </w:r>
      <w:r>
        <w:rPr>
          <w:rFonts w:ascii="Times New Roman" w:hAnsi="Times New Roman"/>
          <w:i/>
          <w:sz w:val="20"/>
        </w:rPr>
        <w:t>No Stabilization.</w:t>
      </w:r>
      <w:r>
        <w:rPr>
          <w:rFonts w:ascii="Times New Roman" w:hAnsi="Times New Roman"/>
          <w:sz w:val="20"/>
        </w:rPr>
        <w:t xml:space="preserve"> Neither the Company, nor any Subsidiary, nor, to the knowledge of the Company, any of their respective directors, officers or controlling persons has taken, directly or indirectly, any action designed, or that has constituted or would cause or result in, under the Exchange Act or otherwise, the stabilization or manipulation of the price of any security of the Company to facilitate the sale or resale of the Shares. </w:t>
      </w:r>
    </w:p>
    <w:p>
      <w:pPr>
        <w:pStyle w:val="TextBody"/>
        <w:bidi w:val="0"/>
        <w:spacing w:before="120" w:after="0"/>
        <w:jc w:val="left"/>
        <w:rPr>
          <w:rFonts w:ascii="Times New Roman" w:hAnsi="Times New Roman"/>
          <w:sz w:val="20"/>
        </w:rPr>
      </w:pPr>
      <w:r>
        <w:rPr>
          <w:rFonts w:ascii="Times New Roman" w:hAnsi="Times New Roman"/>
          <w:sz w:val="20"/>
        </w:rPr>
        <w:t xml:space="preserve">(x) </w:t>
      </w:r>
      <w:r>
        <w:rPr>
          <w:rFonts w:ascii="Times New Roman" w:hAnsi="Times New Roman"/>
          <w:i/>
          <w:sz w:val="20"/>
        </w:rPr>
        <w:t>Broker/Dealer Relationships.</w:t>
      </w:r>
      <w:r>
        <w:rPr>
          <w:rFonts w:ascii="Times New Roman" w:hAnsi="Times New Roman"/>
          <w:sz w:val="20"/>
        </w:rPr>
        <w:t xml:space="preserve"> Neither the Company nor any Subsidiary has incurred any liability for any finder’s fees, brokerage commissions or similar payments in connection with the transactions herein contemplated, except as may otherwise exist with respect to the Underwriter pursuant to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(y) </w:t>
      </w:r>
      <w:r>
        <w:rPr>
          <w:rFonts w:ascii="Times New Roman" w:hAnsi="Times New Roman"/>
          <w:i/>
          <w:sz w:val="20"/>
        </w:rPr>
        <w:t>Taxes.</w:t>
      </w:r>
      <w:r>
        <w:rPr>
          <w:rFonts w:ascii="Times New Roman" w:hAnsi="Times New Roman"/>
          <w:sz w:val="20"/>
        </w:rPr>
        <w:t xml:space="preserve"> The Company and its Subsidiaries have filed all federal, state, local and foreign tax returns which have been required to be filed and paid all taxes shown thereon through the date hereof, to the extent that such taxes have become due and are not being contested in good faith, except where the failure to do so would not reasonably be expected to have a Material Adverse Effect. Except as otherwise disclosed in or contemplated by the Registration Statement, the Pricing Disclosure Package or the Prospectus, no tax deficiency has been determined adversely to the Company or any Subsidiary which has had, or would reasonably be expected to have, individually or in the aggregate, a Material Adverse Effect. The Company has no knowledge of any federal, state or other governmental tax deficiency, penalty or assessment which has been or might be asserted or threatened against it which would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(z) </w:t>
      </w:r>
      <w:r>
        <w:rPr>
          <w:rFonts w:ascii="Times New Roman" w:hAnsi="Times New Roman"/>
          <w:i/>
          <w:sz w:val="20"/>
        </w:rPr>
        <w:t>Title to Real and Personal Property</w:t>
      </w:r>
      <w:r>
        <w:rPr>
          <w:rFonts w:ascii="Times New Roman" w:hAnsi="Times New Roman"/>
          <w:sz w:val="20"/>
        </w:rPr>
        <w:t xml:space="preserve">. The Company and its Subsidiaries have good and valid title in fee simple to all items of real property and good and valid title to all personal property described in the Registration Statement, the Pricing Disclosure Package or the Prospectus as being owned by them that are material to the businesses of the Company or such Subsidiary, in each case free and clear of all liens, encumbrances and claims, except those that (i) do not materially interfere with the use made and proposed to be made of such property by the Company and its Subsidiaries or (ii) would not, individually or in the aggregate, reasonably be expected to have a Material Adverse Effect. Any real property described in the Registration Statement, the Pricing Disclosure Package or the Prospectus as being leased by the Company and its Subsidiaries is held by them under valid, existing and enforceable leases, except those that (A) do not materially interfere with the use made or proposed to be made of such property by the Company or its Subsidiaries or (B) would not, individually or in the aggregate, reasonably be expected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(aa) </w:t>
      </w:r>
      <w:r>
        <w:rPr>
          <w:rFonts w:ascii="Times New Roman" w:hAnsi="Times New Roman"/>
          <w:i/>
          <w:sz w:val="20"/>
        </w:rPr>
        <w:t>Intellectual Property</w:t>
      </w:r>
      <w:r>
        <w:rPr>
          <w:rFonts w:ascii="Times New Roman" w:hAnsi="Times New Roman"/>
          <w:sz w:val="20"/>
        </w:rPr>
        <w:t>. The Company and its Subsidiaries own or possess adequate enforceable rights to use all patents, patent applications, trademarks (both registered and unregistered), trade names, trademark registrations, service marks, service mark registrations, Internet domain name registrations, copyrights, copyright registrations, licenses and know-how (including trade secrets and other unpatented and/or unpatentable proprietary or confidential information, systems or procedures) (collectively, the “</w:t>
      </w:r>
      <w:r>
        <w:rPr>
          <w:rFonts w:ascii="Times New Roman" w:hAnsi="Times New Roman"/>
          <w:b/>
          <w:sz w:val="20"/>
        </w:rPr>
        <w:t>Intellectual Property</w:t>
      </w:r>
      <w:r>
        <w:rPr>
          <w:rFonts w:ascii="Times New Roman" w:hAnsi="Times New Roman"/>
          <w:sz w:val="20"/>
        </w:rPr>
        <w:t xml:space="preserve">”), necessary for the conduct of their respective businesses as conducted as of the date hereof, except to the extent that the failure to own or possess adequate rights to use such Intellectual Property would not, individually or in the aggregate, reasonably be expected to have a Material Adverse Effect. The Company and its Subsidiaries have not received any written notice of any claim of infringement or conflict which asserted Intellectual Property rights of others, which infringement or conflict, if the subject of an unfavorable decision, would reasonably be expected to result in a Material Adverse Effect. There are no pending or, to the Company’s knowledge, threatened judicial proceedings or interference proceedings challenging the Company’s or any Subsidiary’s rights in or to or the validity of the scope of any of the Company’s or its Subsidiaries’ patents, patent applications or proprietary information. No other entity or individual has any right or claim in any of the Company’s or any of its Subsidiary’s patents, patent applications or any patent to be issued therefrom by virtue of any contract, license or other agreement entered into between such entity or individual and the Company or any Subsidiary or by any non-contractual obligation, other than by written licenses granted by the Company or any Subsidiary. The Company has not received any written notice of any claim challenging the rights of the Company or its Subsidiaries in or to any Intellectual Property owned, licensed or optioned by the Company or any Subsidiary which claim, if the subject of an unfavorable decision, would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(bb) </w:t>
      </w:r>
      <w:r>
        <w:rPr>
          <w:rFonts w:ascii="Times New Roman" w:hAnsi="Times New Roman"/>
          <w:i/>
          <w:sz w:val="20"/>
        </w:rPr>
        <w:t>Compliance with Applicable Laws</w:t>
      </w:r>
      <w:r>
        <w:rPr>
          <w:rFonts w:ascii="Times New Roman" w:hAnsi="Times New Roman"/>
          <w:sz w:val="20"/>
        </w:rPr>
        <w:t xml:space="preserve">. The Company has not been advised, and has no reason to believe, that it and each of its Subsidiaries are not conducting business in compliance with all applicable laws, rules and regulations of the jurisdictions in which it is conducting business, except where failure to be so in compliance would not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(cc) </w:t>
      </w:r>
      <w:r>
        <w:rPr>
          <w:rFonts w:ascii="Times New Roman" w:hAnsi="Times New Roman"/>
          <w:i/>
          <w:sz w:val="20"/>
        </w:rPr>
        <w:t>Environmental Laws</w:t>
      </w:r>
      <w:r>
        <w:rPr>
          <w:rFonts w:ascii="Times New Roman" w:hAnsi="Times New Roman"/>
          <w:sz w:val="20"/>
        </w:rPr>
        <w:t>. The Company and its Subsidiaries (i) are in compliance with any and all applicable federal, state, local and foreign laws, rules, regulations, decisions and orders relating to the protection of human health and safety, the environment or hazardous or toxic substances or wastes, pollutants or contaminants (collectively, “</w:t>
      </w:r>
      <w:r>
        <w:rPr>
          <w:rFonts w:ascii="Times New Roman" w:hAnsi="Times New Roman"/>
          <w:b/>
          <w:sz w:val="20"/>
        </w:rPr>
        <w:t>Environmental Laws</w:t>
      </w:r>
      <w:r>
        <w:rPr>
          <w:rFonts w:ascii="Times New Roman" w:hAnsi="Times New Roman"/>
          <w:sz w:val="20"/>
        </w:rPr>
        <w:t xml:space="preserve">”); (ii) have received and are in compliance with all permits, licenses or other approvals required of them under applicable Environmental Laws to conduct their respective businesses as described in the Registration Statement, the Pricing Disclosure Package and the Prospectus; and (iii) have not received notice of any actual or potential liability for the investigation or remediation of any disposal or release of hazardous or toxic substances or wastes, pollutants or contaminants, except, in the case of any of clauses (i), (ii) or (iii) above, for any such failure to comply or failure to receive required permits, licenses, other approvals or liability as would not, individually or in the aggregate, reasonably be expected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(dd) </w:t>
      </w:r>
      <w:r>
        <w:rPr>
          <w:rFonts w:ascii="Times New Roman" w:hAnsi="Times New Roman"/>
          <w:i/>
          <w:sz w:val="20"/>
        </w:rPr>
        <w:t>Disclosure Controls</w:t>
      </w:r>
      <w:r>
        <w:rPr>
          <w:rFonts w:ascii="Times New Roman" w:hAnsi="Times New Roman"/>
          <w:sz w:val="20"/>
        </w:rPr>
        <w:t>. The Company maintains a system of internal accounting controls designed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is not aware of any material weaknesses in its internal control over financial reporting (other than as set forth in the Registration Statement, the Pricing Disclosure Package or the Prospectus). Since the date of the latest audited financial statements of the Company included in the Prospectus, there has been no change in the Company’s internal control over financial reporting that has materially affected, or is reasonably likely to materially affect, the Company’s internal control over financial reporting (other than as set forth in the Registration Statement, the Pricing Disclosure Package or the Prospectus). The Company has established disclosure controls and procedures (as defined in Exchange Act Rules 13a-15 and 15d-15) that comply with the requirements of the Exchange Act. Other than as permitted by interpretive guidance of the Commission, the Company’s certifying officers have evaluated the effectiveness of the Company’s controls and procedures as of a date within 90 days prior to the filing date of the Form 10-K for the fiscal year most recently ended (such date, the “</w:t>
      </w:r>
      <w:r>
        <w:rPr>
          <w:rFonts w:ascii="Times New Roman" w:hAnsi="Times New Roman"/>
          <w:b/>
          <w:sz w:val="20"/>
        </w:rPr>
        <w:t>Evaluation Date</w:t>
      </w:r>
      <w:r>
        <w:rPr>
          <w:rFonts w:ascii="Times New Roman" w:hAnsi="Times New Roman"/>
          <w:sz w:val="20"/>
        </w:rPr>
        <w:t xml:space="preserve">”). Other than as permitted by interpretive guidance of the Commission, the Company presented in its Form 10-K for the fiscal year most recently ended the conclusions of the certifying officers about the effectiveness of the disclosure controls and procedures based on their evaluations as of the most recent Evaluation Date, and except as disclosed in the Registration Statement, the Pricing Disclosure Package and the Prospectus, the “disclosure controls and procedures” were effective as of the Evaluation Date. </w:t>
      </w:r>
    </w:p>
    <w:p>
      <w:pPr>
        <w:pStyle w:val="TextBody"/>
        <w:bidi w:val="0"/>
        <w:spacing w:before="120" w:after="0"/>
        <w:jc w:val="left"/>
        <w:rPr>
          <w:rFonts w:ascii="Times New Roman" w:hAnsi="Times New Roman"/>
          <w:sz w:val="20"/>
        </w:rPr>
      </w:pPr>
      <w:r>
        <w:rPr>
          <w:rFonts w:ascii="Times New Roman" w:hAnsi="Times New Roman"/>
          <w:sz w:val="20"/>
        </w:rPr>
        <w:t xml:space="preserve">(ee) </w:t>
      </w:r>
      <w:r>
        <w:rPr>
          <w:rFonts w:ascii="Times New Roman" w:hAnsi="Times New Roman"/>
          <w:i/>
          <w:sz w:val="20"/>
        </w:rPr>
        <w:t>Sarbanes-Oxley Act</w:t>
      </w:r>
      <w:r>
        <w:rPr>
          <w:rFonts w:ascii="Times New Roman" w:hAnsi="Times New Roman"/>
          <w:sz w:val="20"/>
        </w:rPr>
        <w:t>. There is and has been no failure on the part of the Company or, to the knowledge of the Company, any of the Company’s directors or officers, in their capacities as such, to comply in all material respects with any applicable provisions of the Sarbanes-Oxley Act of 2002 (the “</w:t>
      </w:r>
      <w:r>
        <w:rPr>
          <w:rFonts w:ascii="Times New Roman" w:hAnsi="Times New Roman"/>
          <w:b/>
          <w:sz w:val="20"/>
        </w:rPr>
        <w:t>Sarbanes-Oxley Act</w:t>
      </w:r>
      <w:r>
        <w:rPr>
          <w:rFonts w:ascii="Times New Roman" w:hAnsi="Times New Roman"/>
          <w:sz w:val="20"/>
        </w:rPr>
        <w:t xml:space="preserve">”) and the rules and regulations promulgated thereunder. Each of the principal executive officer and the principal financial officer of the Company (or each former principal executive officer of the Company and each former principal financial officer of the Company as applicable) has made all certifications required by Sections 302 and 906 of the Sarbanes-Oxley Act with respect to all reports, schedules, forms, statements and other documents required to be filed by it or furnished by it to the Commission during the past 12 months. For purposes of the preceding sentence, “principal executive officer” and “principal financial officer” shall have the meanings given to such terms in the Exchange Act Rules 13a-15 and 15d-15. </w:t>
      </w:r>
    </w:p>
    <w:p>
      <w:pPr>
        <w:pStyle w:val="TextBody"/>
        <w:bidi w:val="0"/>
        <w:spacing w:before="120" w:after="0"/>
        <w:jc w:val="left"/>
        <w:rPr>
          <w:rFonts w:ascii="Times New Roman" w:hAnsi="Times New Roman"/>
          <w:sz w:val="20"/>
        </w:rPr>
      </w:pPr>
      <w:r>
        <w:rPr>
          <w:rFonts w:ascii="Times New Roman" w:hAnsi="Times New Roman"/>
          <w:sz w:val="20"/>
        </w:rPr>
        <w:t xml:space="preserve">(ff) </w:t>
      </w:r>
      <w:r>
        <w:rPr>
          <w:rFonts w:ascii="Times New Roman" w:hAnsi="Times New Roman"/>
          <w:i/>
          <w:sz w:val="20"/>
        </w:rPr>
        <w:t>No Labor Disputes.</w:t>
      </w:r>
      <w:r>
        <w:rPr>
          <w:rFonts w:ascii="Times New Roman" w:hAnsi="Times New Roman"/>
          <w:sz w:val="20"/>
        </w:rPr>
        <w:t xml:space="preserve"> No labor disturbance by or dispute with employees of the Company or any Subsidiary exists or, to the knowledge of the Company, is threatened which would reasonably be expected to result in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(gg) </w:t>
      </w:r>
      <w:r>
        <w:rPr>
          <w:rFonts w:ascii="Times New Roman" w:hAnsi="Times New Roman"/>
          <w:i/>
          <w:sz w:val="20"/>
        </w:rPr>
        <w:t>Investment Company Act</w:t>
      </w:r>
      <w:r>
        <w:rPr>
          <w:rFonts w:ascii="Times New Roman" w:hAnsi="Times New Roman"/>
          <w:sz w:val="20"/>
        </w:rPr>
        <w:t>. Neither the Company nor any Subsidiary is or, after giving effect to the offering and sale of the Shares, will be required to register as an “investment company” as such term is defined in the Investment Company Act of 1940, as amended (the “</w:t>
      </w:r>
      <w:r>
        <w:rPr>
          <w:rFonts w:ascii="Times New Roman" w:hAnsi="Times New Roman"/>
          <w:b/>
          <w:sz w:val="20"/>
        </w:rPr>
        <w:t>Investment Company Act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(hh) </w:t>
      </w:r>
      <w:r>
        <w:rPr>
          <w:rFonts w:ascii="Times New Roman" w:hAnsi="Times New Roman"/>
          <w:i/>
          <w:sz w:val="20"/>
        </w:rPr>
        <w:t>Operations</w:t>
      </w:r>
      <w:r>
        <w:rPr>
          <w:rFonts w:ascii="Times New Roman" w:hAnsi="Times New Roman"/>
          <w:sz w:val="20"/>
        </w:rPr>
        <w:t>. The operations of the Company and its Subsidiaries are and have been conducted at all times in compliance with applicable financial record keeping and reporting requirements of the Currency and Foreign Transactions Reporting Act of 1970, as amended, the money laundering statutes of all jurisdictions to which the Company or its Subsidiaries are subject, the rules and regulations thereunder and any related or similar rules, regulations or guidelines, issued, administered or enforced by any governmental agency having jurisdiction over the Company (collectively, the “</w:t>
      </w:r>
      <w:r>
        <w:rPr>
          <w:rFonts w:ascii="Times New Roman" w:hAnsi="Times New Roman"/>
          <w:b/>
          <w:sz w:val="20"/>
        </w:rPr>
        <w:t>Money Laundering Laws</w:t>
      </w:r>
      <w:r>
        <w:rPr>
          <w:rFonts w:ascii="Times New Roman" w:hAnsi="Times New Roman"/>
          <w:sz w:val="20"/>
        </w:rPr>
        <w:t xml:space="preserve">”), except where the failure to be in such compliance would reasonably be expected to not result in a Material Adverse Effect; and no action, suit or proceeding by or before any court or governmental agency, authority or body or any arbitrator involving the Company or any Subsidiary with respect to the Money Laundering Laws is pending or, to the knowledge of the Company, threatened.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Off-Balance Sheet Arrangements</w:t>
      </w:r>
      <w:r>
        <w:rPr>
          <w:rFonts w:ascii="Times New Roman" w:hAnsi="Times New Roman"/>
          <w:sz w:val="20"/>
        </w:rPr>
        <w:t>. There are no transactions, arrangements and other relationships between and/or among the Company, and/or, to the knowledge of the Company, any of its affiliates and any unconsolidated entity, including, but not limited to, any structured finance, special purpose or limited purpose entity (each, an “</w:t>
      </w:r>
      <w:r>
        <w:rPr>
          <w:rFonts w:ascii="Times New Roman" w:hAnsi="Times New Roman"/>
          <w:b/>
          <w:sz w:val="20"/>
        </w:rPr>
        <w:t>Off Balance Sheet Transaction</w:t>
      </w:r>
      <w:r>
        <w:rPr>
          <w:rFonts w:ascii="Times New Roman" w:hAnsi="Times New Roman"/>
          <w:sz w:val="20"/>
        </w:rPr>
        <w:t xml:space="preserve">”) that would affect materially the Company’s liquidity or the availability of or requirements for its capital resources, including those Off Balance Sheet Transactions described in the Commission’s Statement about Management’s Discussion and Analysis of Financial Conditions and Results of Operations (Release Nos. 33-8056; 34-45321; FR-61), required to be described in the Registration Statement or the Prospectus which have not been described as required, if any. </w:t>
      </w:r>
    </w:p>
    <w:p>
      <w:pPr>
        <w:pStyle w:val="TextBody"/>
        <w:bidi w:val="0"/>
        <w:spacing w:before="120" w:after="0"/>
        <w:jc w:val="left"/>
        <w:rPr>
          <w:rFonts w:ascii="Times New Roman" w:hAnsi="Times New Roman"/>
          <w:sz w:val="20"/>
        </w:rPr>
      </w:pPr>
      <w:r>
        <w:rPr>
          <w:rFonts w:ascii="Times New Roman" w:hAnsi="Times New Roman"/>
          <w:sz w:val="20"/>
        </w:rPr>
        <w:t xml:space="preserve">(jj) </w:t>
      </w:r>
      <w:r>
        <w:rPr>
          <w:rFonts w:ascii="Times New Roman" w:hAnsi="Times New Roman"/>
          <w:i/>
          <w:sz w:val="20"/>
        </w:rPr>
        <w:t>Compliance with ERISA</w:t>
      </w:r>
      <w:r>
        <w:rPr>
          <w:rFonts w:ascii="Times New Roman" w:hAnsi="Times New Roman"/>
          <w:sz w:val="20"/>
        </w:rPr>
        <w:t>. To the knowledge of the Company, (i) each material employee benefit plan, within the meaning of Section 3(3) of the Employee Retirement Income Security Act of 1974, as amended (“</w:t>
      </w:r>
      <w:r>
        <w:rPr>
          <w:rFonts w:ascii="Times New Roman" w:hAnsi="Times New Roman"/>
          <w:b/>
          <w:sz w:val="20"/>
        </w:rPr>
        <w:t>ERISA</w:t>
      </w:r>
      <w:r>
        <w:rPr>
          <w:rFonts w:ascii="Times New Roman" w:hAnsi="Times New Roman"/>
          <w:sz w:val="20"/>
        </w:rPr>
        <w:t>”), that is maintained, administered or contributed to by the Company or any of its affiliates for employees or former employees of the Company and its Subsidiaries has been maintained in material compliance with its terms and the requirements of any applicable statutes, orders, rules and regulations, including but not limited to ERISA and the Internal Revenue Code of 1986, as amended (the “</w:t>
      </w:r>
      <w:r>
        <w:rPr>
          <w:rFonts w:ascii="Times New Roman" w:hAnsi="Times New Roman"/>
          <w:b/>
          <w:sz w:val="20"/>
        </w:rPr>
        <w:t>Code</w:t>
      </w:r>
      <w:r>
        <w:rPr>
          <w:rFonts w:ascii="Times New Roman" w:hAnsi="Times New Roman"/>
          <w:sz w:val="20"/>
        </w:rPr>
        <w:t xml:space="preserve">”); (ii) no prohibited transaction, within the meaning of Section 406 of ERISA or Section 4975 of the Code, has occurred which would result in a material liability to the Company with respect to any such plan excluding transactions effected pursuant to a statutory or administrative exemption; and (iii) for each such plan that is subject to the funding rules of Section 412 of the Code or Section 302 of ERISA, no “accumulated funding deficiency” as defined in Section 412 of the Code has been incurred, whether or not waived, and the fair market value of the assets of each such plan (excluding for these purposes accrued but unpaid contributions) equals or exceeds the present value of all benefits accrued under such plan determined using reasonable actuarial assumptions, other than, in the case of (i), (ii) and (iii) above, as would not reasonably be expected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(kk) </w:t>
      </w:r>
      <w:r>
        <w:rPr>
          <w:rFonts w:ascii="Times New Roman" w:hAnsi="Times New Roman"/>
          <w:i/>
          <w:sz w:val="20"/>
        </w:rPr>
        <w:t>No Undisclosed Relationships</w:t>
      </w:r>
      <w:r>
        <w:rPr>
          <w:rFonts w:ascii="Times New Roman" w:hAnsi="Times New Roman"/>
          <w:sz w:val="20"/>
        </w:rPr>
        <w:t xml:space="preserve">. (i) No relationship, direct or indirect, exists between or among the Company or, to the Company’s knowledge, its Subsidiaries or any affiliate of any of them, on the one hand, and the directors, officers and stockholders of the Company or, to the Company’s knowledge, its Subsidiaries, on the other hand, that is required by the Securities Act to be described in the Registration Statement, the Pricing Disclosure Package and the Prospectus that is not so described; and (ii) no relationship, direct or indirect, exists between or among the Company or its Subsidiaries or any affiliate of them, on the one hand, and the directors, officers, stockholders or directors of the Company or, to the Company’s knowledge, its Subsidiaries, on the other hand, that is required by the rules of FINRA to be described in the Registration Statement, the Pricing Disclosure Package and the Prospectus that is not so described. </w:t>
      </w:r>
    </w:p>
    <w:p>
      <w:pPr>
        <w:pStyle w:val="TextBody"/>
        <w:bidi w:val="0"/>
        <w:spacing w:before="120" w:after="0"/>
        <w:jc w:val="left"/>
        <w:rPr>
          <w:rFonts w:ascii="Times New Roman" w:hAnsi="Times New Roman"/>
          <w:sz w:val="20"/>
        </w:rPr>
      </w:pPr>
      <w:r>
        <w:rPr>
          <w:rFonts w:ascii="Times New Roman" w:hAnsi="Times New Roman"/>
          <w:sz w:val="20"/>
        </w:rPr>
        <w:t xml:space="preserve">(ll) </w:t>
      </w:r>
      <w:r>
        <w:rPr>
          <w:rFonts w:ascii="Times New Roman" w:hAnsi="Times New Roman"/>
          <w:i/>
          <w:sz w:val="20"/>
        </w:rPr>
        <w:t>Forward-Looking Statements.</w:t>
      </w:r>
      <w:r>
        <w:rPr>
          <w:rFonts w:ascii="Times New Roman" w:hAnsi="Times New Roman"/>
          <w:sz w:val="20"/>
        </w:rPr>
        <w:t xml:space="preserve"> No forward-looking statement (within the meaning of Section 27A of the Securities Act and Section 21E of the Exchange Act) (a “</w:t>
      </w:r>
      <w:r>
        <w:rPr>
          <w:rFonts w:ascii="Times New Roman" w:hAnsi="Times New Roman"/>
          <w:b/>
          <w:sz w:val="20"/>
        </w:rPr>
        <w:t>Forward-Looking Statement</w:t>
      </w:r>
      <w:r>
        <w:rPr>
          <w:rFonts w:ascii="Times New Roman" w:hAnsi="Times New Roman"/>
          <w:sz w:val="20"/>
        </w:rPr>
        <w:t xml:space="preserve">”) contained in the Registration Statement, the Pricing Disclosure Package and the Prospectus has been made or reaffirmed without a reasonable basis or has been disclosed other than in good faith. </w:t>
      </w:r>
    </w:p>
    <w:p>
      <w:pPr>
        <w:pStyle w:val="TextBody"/>
        <w:bidi w:val="0"/>
        <w:spacing w:before="120" w:after="0"/>
        <w:jc w:val="left"/>
        <w:rPr>
          <w:rFonts w:ascii="Times New Roman" w:hAnsi="Times New Roman"/>
          <w:sz w:val="20"/>
        </w:rPr>
      </w:pPr>
      <w:r>
        <w:rPr>
          <w:rFonts w:ascii="Times New Roman" w:hAnsi="Times New Roman"/>
          <w:sz w:val="20"/>
        </w:rPr>
        <w:t xml:space="preserve">(mm) </w:t>
      </w:r>
      <w:r>
        <w:rPr>
          <w:rFonts w:ascii="Times New Roman" w:hAnsi="Times New Roman"/>
          <w:i/>
          <w:sz w:val="20"/>
        </w:rPr>
        <w:t>Margin Rules</w:t>
      </w:r>
      <w:r>
        <w:rPr>
          <w:rFonts w:ascii="Times New Roman" w:hAnsi="Times New Roman"/>
          <w:sz w:val="20"/>
        </w:rPr>
        <w:t xml:space="preserve">. Neither the issuance, sale and delivery of the Shares nor the application of the proceeds thereof by the Company as described in the Registration Statement, the Pricing Disclosure Package and the Prospectus will violate Regulation T, U or X of the Board of Governors of the Federal Reserve System. </w:t>
      </w:r>
    </w:p>
    <w:p>
      <w:pPr>
        <w:pStyle w:val="TextBody"/>
        <w:bidi w:val="0"/>
        <w:spacing w:before="120" w:after="0"/>
        <w:jc w:val="left"/>
        <w:rPr>
          <w:rFonts w:ascii="Times New Roman" w:hAnsi="Times New Roman"/>
          <w:sz w:val="20"/>
        </w:rPr>
      </w:pPr>
      <w:r>
        <w:rPr>
          <w:rFonts w:ascii="Times New Roman" w:hAnsi="Times New Roman"/>
          <w:sz w:val="20"/>
        </w:rPr>
        <w:t xml:space="preserve">(nn) </w:t>
      </w:r>
      <w:r>
        <w:rPr>
          <w:rFonts w:ascii="Times New Roman" w:hAnsi="Times New Roman"/>
          <w:i/>
          <w:sz w:val="20"/>
        </w:rPr>
        <w:t xml:space="preserve">Insurance. </w:t>
      </w:r>
      <w:r>
        <w:rPr>
          <w:rFonts w:ascii="Times New Roman" w:hAnsi="Times New Roman"/>
          <w:sz w:val="20"/>
        </w:rPr>
        <w:t xml:space="preserve">The Company and its Subsidiaries carry, or are covered by, insurance in such amounts and covering such risks as the Company and its Subsidiaries reasonably believe are adequate for the conduct of their business. </w:t>
      </w:r>
    </w:p>
    <w:p>
      <w:pPr>
        <w:pStyle w:val="TextBody"/>
        <w:bidi w:val="0"/>
        <w:spacing w:before="120" w:after="0"/>
        <w:jc w:val="left"/>
        <w:rPr>
          <w:rFonts w:ascii="Times New Roman" w:hAnsi="Times New Roman"/>
          <w:sz w:val="20"/>
        </w:rPr>
      </w:pPr>
      <w:r>
        <w:rPr>
          <w:rFonts w:ascii="Times New Roman" w:hAnsi="Times New Roman"/>
          <w:sz w:val="20"/>
        </w:rPr>
        <w:t xml:space="preserve">(oo) </w:t>
      </w:r>
      <w:r>
        <w:rPr>
          <w:rFonts w:ascii="Times New Roman" w:hAnsi="Times New Roman"/>
          <w:i/>
          <w:sz w:val="20"/>
        </w:rPr>
        <w:t>No Improper Practices.</w:t>
      </w:r>
      <w:r>
        <w:rPr>
          <w:rFonts w:ascii="Times New Roman" w:hAnsi="Times New Roman"/>
          <w:sz w:val="20"/>
        </w:rPr>
        <w:t xml:space="preserve"> (i) Neither the Company nor, to the Company’s knowledge, its Subsidiaries, nor to the Company’s knowledge, any of their respective executive officers has, in the past five years, made any unlawful contributions to any candidate for any political office (or failed fully to disclose any contribution in violation of law) or made any contribution or other payment to any official of, or candidate for, any federal, state, municipal, or foreign office or other person charged with similar public or quasi-public duty in violation of any law or of the character required to be disclosed in the Registration Statement, the Pricing Disclosure Package or the Prospectus; (ii) the Company has not offered, or caused any placement agent to offer, Common Stock to any person with the intent to influence unlawfully (A) a customer or supplier of the Company or its Subsidiaries to alter the customer’s or supplier’s level or type of business with the Company or its Subsidiaries or (B) a trade journalist or publication to write or publish favorable information about the Company or its Subsidiaries or any of their respective products or services; and (iii) neither the Company nor its Subsidiaries nor, to the Company’s knowledge, any employee or agent of the Company or its Subsidiaries has made any payment of funds of the Company or its Subsidiaries or received or retained any funds in violation of any law, rule or regulation (including, without limitation, the Foreign Corrupt Practices Act of 1977), which payment, receipt or retention of funds is of a character required to be disclosed in the Registration Statement, the Pricing Disclosure Package or the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(pp) </w:t>
      </w:r>
      <w:r>
        <w:rPr>
          <w:rFonts w:ascii="Times New Roman" w:hAnsi="Times New Roman"/>
          <w:i/>
          <w:sz w:val="20"/>
        </w:rPr>
        <w:t>Well-Known Seasoned Issuer Status</w:t>
      </w:r>
      <w:r>
        <w:rPr>
          <w:rFonts w:ascii="Times New Roman" w:hAnsi="Times New Roman"/>
          <w:sz w:val="20"/>
        </w:rPr>
        <w:t xml:space="preserve">. At the time of filing the Registration Statement, and at the date hereof, the Company was and is a “well-known seasoned issuer” as defined in Rule 405, including not having been an “ineligible issuer” as defined in Rule 405 at any such time, without taking account of any determination by the Commission pursuant to Rule 405 that it is not necessary that the Company be considered an ineligible issuer. </w:t>
      </w:r>
    </w:p>
    <w:p>
      <w:pPr>
        <w:pStyle w:val="TextBody"/>
        <w:bidi w:val="0"/>
        <w:spacing w:before="120" w:after="0"/>
        <w:jc w:val="left"/>
        <w:rPr>
          <w:rFonts w:ascii="Times New Roman" w:hAnsi="Times New Roman"/>
          <w:sz w:val="20"/>
        </w:rPr>
      </w:pPr>
      <w:r>
        <w:rPr>
          <w:rFonts w:ascii="Times New Roman" w:hAnsi="Times New Roman"/>
          <w:sz w:val="20"/>
        </w:rPr>
        <w:t xml:space="preserve">(qq) </w:t>
      </w:r>
      <w:r>
        <w:rPr>
          <w:rFonts w:ascii="Times New Roman" w:hAnsi="Times New Roman"/>
          <w:i/>
          <w:sz w:val="20"/>
        </w:rPr>
        <w:t>No Conflicts</w:t>
      </w:r>
      <w:r>
        <w:rPr>
          <w:rFonts w:ascii="Times New Roman" w:hAnsi="Times New Roman"/>
          <w:sz w:val="20"/>
        </w:rPr>
        <w:t xml:space="preserve">. Neither the execution of this Agreement, nor the issuance, offering or sale of the Shares, nor the consummation of any of the transactions contemplated herein, nor the compliance by the Company with the terms and provisions hereof will conflict with, or will result in a breach of, any of the terms and provisions of, or has constituted or will constitute a default under, or has resulted in or will result in the creation or imposition of any lien, charge or encumbrance upon any property or assets of the Company pursuant to the terms of any contract or other agreement to which the Company may be bound or to which any of the property or assets of the Company is subject, except (i) such conflicts, breaches or defaults as may have been waived and (ii) such conflicts, breaches and defaults that would not reasonably be expected to have a Material Adverse Effect; nor will such action result (x) in any violation of the provisions of the organizational or governing documents of the Company, or (y) in any material violation of the provisions of any statute or any order, rule or regulation applicable to the Company or of any court or of any federal, state or other regulatory authority or other government body having jurisdiction over the Company, except where such violation would not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(rr) </w:t>
      </w:r>
      <w:r>
        <w:rPr>
          <w:rFonts w:ascii="Times New Roman" w:hAnsi="Times New Roman"/>
          <w:i/>
          <w:sz w:val="20"/>
        </w:rPr>
        <w:t>Office of Foreign Assets Control</w:t>
      </w:r>
      <w:r>
        <w:rPr>
          <w:rFonts w:ascii="Times New Roman" w:hAnsi="Times New Roman"/>
          <w:sz w:val="20"/>
        </w:rPr>
        <w:t>. (i) Neither the Company nor any Subsidiary (the “</w:t>
      </w:r>
      <w:r>
        <w:rPr>
          <w:rFonts w:ascii="Times New Roman" w:hAnsi="Times New Roman"/>
          <w:b/>
          <w:sz w:val="20"/>
        </w:rPr>
        <w:t>Entity</w:t>
      </w:r>
      <w:r>
        <w:rPr>
          <w:rFonts w:ascii="Times New Roman" w:hAnsi="Times New Roman"/>
          <w:sz w:val="20"/>
        </w:rPr>
        <w:t>”) nor any director or officer of the Company, nor, to the Company’s knowledge, any employee, agent, controlled affiliate or representative of the Entity, is a government, individual, or entity (in this paragraph, “</w:t>
      </w:r>
      <w:r>
        <w:rPr>
          <w:rFonts w:ascii="Times New Roman" w:hAnsi="Times New Roman"/>
          <w:b/>
          <w:sz w:val="20"/>
        </w:rPr>
        <w:t>Person</w:t>
      </w:r>
      <w:r>
        <w:rPr>
          <w:rFonts w:ascii="Times New Roman" w:hAnsi="Times New Roman"/>
          <w:sz w:val="20"/>
        </w:rPr>
        <w:t>”) that is, or is owned or controlled by a Person that is: (a) the subject of any sanctions administered or enforced by the U.S. Department of Treasury’s Office of Foreign Assets Control (“</w:t>
      </w:r>
      <w:r>
        <w:rPr>
          <w:rFonts w:ascii="Times New Roman" w:hAnsi="Times New Roman"/>
          <w:b/>
          <w:sz w:val="20"/>
        </w:rPr>
        <w:t>OFAC</w:t>
      </w:r>
      <w:r>
        <w:rPr>
          <w:rFonts w:ascii="Times New Roman" w:hAnsi="Times New Roman"/>
          <w:sz w:val="20"/>
        </w:rPr>
        <w:t>”), the United Nations Security Council, the European Union, His Majesty’s Treasury, or other relevant sanctions authority (collectively, “</w:t>
      </w:r>
      <w:r>
        <w:rPr>
          <w:rFonts w:ascii="Times New Roman" w:hAnsi="Times New Roman"/>
          <w:b/>
          <w:sz w:val="20"/>
        </w:rPr>
        <w:t>Sanctions</w:t>
      </w:r>
      <w:r>
        <w:rPr>
          <w:rFonts w:ascii="Times New Roman" w:hAnsi="Times New Roman"/>
          <w:sz w:val="20"/>
        </w:rPr>
        <w:t xml:space="preserve">”), nor (b) located, organized or resident in a country or territory that is the subject of Sanctions. (ii) The Entity will not, directly or indirectly, knowingly use the proceeds of the offering, or lend, contribute or otherwise make available such proceeds to any Subsidiary, joint venture partner or other Person: (a) to fund or facilitate any activities or business of or with any Person or in any country or territory that, at the time of such funding or facilitation, is the subject of Sanctions; or (b) in any other manner that will result in a violation of Sanctions by any Person (including any Person participating in the offering, whether as underwriter, advisor, investor or otherwise). (iii) The Entity represents and covenants that, except as detailed in the Registration Statement, the Pricing Disclosure Package and the Prospectus, for the past 5 years, it has not knowingly engaged in and is not now knowingly engaged in any dealing or transactions with any Person, or in any country or territory, that at the time of the dealing or transaction is or was the subject of Sanctions.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(ss) </w:t>
      </w:r>
      <w:r>
        <w:rPr>
          <w:rFonts w:ascii="Times New Roman" w:hAnsi="Times New Roman"/>
          <w:i/>
          <w:sz w:val="20"/>
        </w:rPr>
        <w:t>IT Systems</w:t>
      </w:r>
      <w:r>
        <w:rPr>
          <w:rFonts w:ascii="Times New Roman" w:hAnsi="Times New Roman"/>
          <w:sz w:val="20"/>
        </w:rPr>
        <w:t>. Except as would not, individually or in the aggregate, reasonably be expected to result in a Material Adverse Effect, (i)(x) to the knowledge of the Company, there has been no security breach or other compromise of any of the Company’s information technology and computer systems, networks, hardware, software, data (including the data of their respective customers, employees, suppliers, vendors and any third party data maintained by or on behalf of them), equipment or technology (collectively, “</w:t>
      </w:r>
      <w:r>
        <w:rPr>
          <w:rFonts w:ascii="Times New Roman" w:hAnsi="Times New Roman"/>
          <w:b/>
          <w:sz w:val="20"/>
        </w:rPr>
        <w:t>IT Systems and Data</w:t>
      </w:r>
      <w:r>
        <w:rPr>
          <w:rFonts w:ascii="Times New Roman" w:hAnsi="Times New Roman"/>
          <w:sz w:val="20"/>
        </w:rPr>
        <w:t xml:space="preserve">”) and (y) the Company has not been notified of, and has no knowledge of any event or condition that would reasonably be expected to result in, any security breach or other compromise to its IT Systems and Data; and (ii) the Company is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w:t>
      </w:r>
    </w:p>
    <w:p>
      <w:pPr>
        <w:pStyle w:val="TextBody"/>
        <w:bidi w:val="0"/>
        <w:spacing w:before="120" w:after="0"/>
        <w:jc w:val="left"/>
        <w:rPr>
          <w:rFonts w:ascii="Times New Roman" w:hAnsi="Times New Roman"/>
          <w:sz w:val="20"/>
        </w:rPr>
      </w:pPr>
      <w:r>
        <w:rPr>
          <w:rFonts w:ascii="Times New Roman" w:hAnsi="Times New Roman"/>
          <w:sz w:val="20"/>
        </w:rPr>
        <w:t xml:space="preserve">(tt) </w:t>
      </w:r>
      <w:r>
        <w:rPr>
          <w:rFonts w:ascii="Times New Roman" w:hAnsi="Times New Roman"/>
          <w:i/>
          <w:sz w:val="20"/>
        </w:rPr>
        <w:t>Data Protection; No Breaches</w:t>
      </w:r>
      <w:r>
        <w:rPr>
          <w:rFonts w:ascii="Times New Roman" w:hAnsi="Times New Roman"/>
          <w:sz w:val="20"/>
        </w:rPr>
        <w:t xml:space="preserve">. Except as would not, individually or in the aggregate, reasonably be expected to result in a Material Adverse Effect, the Company has implemented backup and disaster recovery technology consistent with industry standards and practices. </w:t>
      </w:r>
    </w:p>
    <w:p>
      <w:pPr>
        <w:pStyle w:val="TextBody"/>
        <w:bidi w:val="0"/>
        <w:spacing w:before="120" w:after="0"/>
        <w:jc w:val="left"/>
        <w:rPr>
          <w:rFonts w:ascii="Times New Roman" w:hAnsi="Times New Roman"/>
          <w:sz w:val="20"/>
        </w:rPr>
      </w:pPr>
      <w:r>
        <w:rPr>
          <w:rFonts w:ascii="Times New Roman" w:hAnsi="Times New Roman"/>
          <w:sz w:val="20"/>
        </w:rPr>
        <w:t xml:space="preserve">(uu) </w:t>
      </w:r>
      <w:r>
        <w:rPr>
          <w:rFonts w:ascii="Times New Roman" w:hAnsi="Times New Roman"/>
          <w:i/>
          <w:sz w:val="20"/>
        </w:rPr>
        <w:t>Statistical and Market Data.</w:t>
      </w:r>
      <w:r>
        <w:rPr>
          <w:rFonts w:ascii="Times New Roman" w:hAnsi="Times New Roman"/>
          <w:sz w:val="20"/>
        </w:rPr>
        <w:t xml:space="preserve"> Nothing has come to the attention of the Company that has caused the Company to believe that the statistical and market-related data included or incorporated by reference in each of the Registration Statement, the Pricing Disclosure Package and the Prospectus is not based on or derived from sources that are reliable and accurate in all material respects. </w:t>
      </w:r>
    </w:p>
    <w:p>
      <w:pPr>
        <w:pStyle w:val="TextBody"/>
        <w:bidi w:val="0"/>
        <w:spacing w:before="120" w:after="0"/>
        <w:jc w:val="left"/>
        <w:rPr>
          <w:rFonts w:ascii="Times New Roman" w:hAnsi="Times New Roman"/>
          <w:sz w:val="20"/>
        </w:rPr>
      </w:pPr>
      <w:r>
        <w:rPr>
          <w:rFonts w:ascii="Times New Roman" w:hAnsi="Times New Roman"/>
          <w:sz w:val="20"/>
        </w:rPr>
        <w:t xml:space="preserve">(vv) </w:t>
      </w:r>
      <w:r>
        <w:rPr>
          <w:rFonts w:ascii="Times New Roman" w:hAnsi="Times New Roman"/>
          <w:i/>
          <w:sz w:val="20"/>
        </w:rPr>
        <w:t>FINRA Matters</w:t>
      </w:r>
      <w:r>
        <w:rPr>
          <w:rFonts w:ascii="Times New Roman" w:hAnsi="Times New Roman"/>
          <w:sz w:val="20"/>
        </w:rPr>
        <w:t xml:space="preserve">. All of the information provided to the Underwriter or to counsel for the Underwriter by the Company, to the Company’s knowledge, its counsel, its officers and directors and the holders of any securities (debt or equity) or options to acquire any securities of the Company in connection with the offering of the Shares is true, complete, correct and compliant in all material respects with FINRA’s rules and any letters, filings or other supplemental information provided to FINRA pursuant to FINRA Rules or NASD Conduct Rules is true, complete and correct in all material respects. The Company represents that it is an “experienced issuer” as defined in FINRA Rule 5110(j)(6). </w:t>
      </w:r>
    </w:p>
    <w:p>
      <w:pPr>
        <w:pStyle w:val="TextBody"/>
        <w:bidi w:val="0"/>
        <w:spacing w:before="120" w:after="0"/>
        <w:jc w:val="left"/>
        <w:rPr>
          <w:rFonts w:ascii="Times New Roman" w:hAnsi="Times New Roman"/>
          <w:sz w:val="20"/>
        </w:rPr>
      </w:pPr>
      <w:r>
        <w:rPr>
          <w:rFonts w:ascii="Times New Roman" w:hAnsi="Times New Roman"/>
          <w:sz w:val="20"/>
        </w:rPr>
        <w:t xml:space="preserve">(ww) </w:t>
      </w:r>
      <w:r>
        <w:rPr>
          <w:rFonts w:ascii="Times New Roman" w:hAnsi="Times New Roman"/>
          <w:i/>
          <w:sz w:val="20"/>
        </w:rPr>
        <w:t>Stock Exchange Listing</w:t>
      </w:r>
      <w:r>
        <w:rPr>
          <w:rFonts w:ascii="Times New Roman" w:hAnsi="Times New Roman"/>
          <w:sz w:val="20"/>
        </w:rPr>
        <w:t>. The Common Stock is registered pursuant to Section 12(b)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The Company has not, in the 12 months preceding the date hereof, received notice from any of the NYSE American, the Nasdaq Capital Market, the Nasdaq Global Market, the Nasdaq Global Select Market or the New York Stock Exchange (each a “</w:t>
      </w:r>
      <w:r>
        <w:rPr>
          <w:rFonts w:ascii="Times New Roman" w:hAnsi="Times New Roman"/>
          <w:b/>
          <w:sz w:val="20"/>
        </w:rPr>
        <w:t>Trading Market</w:t>
      </w:r>
      <w:r>
        <w:rPr>
          <w:rFonts w:ascii="Times New Roman" w:hAnsi="Times New Roman"/>
          <w:sz w:val="20"/>
        </w:rPr>
        <w:t xml:space="preserve">”) on which the Common Stock is or has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Further Agreements of the Company</w:t>
      </w:r>
      <w:r>
        <w:rPr>
          <w:rFonts w:ascii="Times New Roman" w:hAnsi="Times New Roman"/>
          <w:sz w:val="20"/>
        </w:rPr>
        <w:t xml:space="preserve">. The Company covenants and agrees with the Underwriter that: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Required Filings.</w:t>
      </w:r>
      <w:r>
        <w:rPr>
          <w:rFonts w:ascii="Times New Roman" w:hAnsi="Times New Roman"/>
          <w:sz w:val="20"/>
        </w:rPr>
        <w:t xml:space="preserve"> The Company will file the final Prospectus with the Commission within the time periods specified by Rule 424(b) and Rule 430A, 430B or 430C under the Securities Act, and will file any Issuer Free Writing Prospectus to the extent required by Rule 433 under the Securities Act; and the Company will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is required in connection with the offering or sale of the Shares; and the Company will furnish copies of the Prospectus and each Issuer Free Writing Prospectus (to the extent not previously delivered) to the Underwriter as soon as reasonably practicable following the date of this Agreement in such quantities as the Underwriter may reasonably request.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Delivery of Copies.</w:t>
      </w:r>
      <w:r>
        <w:rPr>
          <w:rFonts w:ascii="Times New Roman" w:hAnsi="Times New Roman"/>
          <w:sz w:val="20"/>
        </w:rPr>
        <w:t xml:space="preserve"> Upon written request of the Underwriter, the Company will deliver, without charge, (i) to the Underwriter, a signed copy of the Registration Statement as originally filed and each amendment thereto, in each case including all exhibits and consents filed therewith (or any document to be filed with the Commission and incorporated by reference therein); and (ii) to the Underwriter (A) a conformed copy of the Registration Statement as originally filed and each amendment thereto (without exhibits) and (B) during the Prospectus Delivery Period (as defined below), as many copies of the Prospectus (including all amendments and supplements thereto and documents incorporated by reference therein and each Issuer Free Writing Prospectus) as the Underwriter may reasonably request. As used herein, the term “</w:t>
      </w:r>
      <w:r>
        <w:rPr>
          <w:rFonts w:ascii="Times New Roman" w:hAnsi="Times New Roman"/>
          <w:b/>
          <w:sz w:val="20"/>
        </w:rPr>
        <w:t>Prospectus Delivery Period</w:t>
      </w:r>
      <w:r>
        <w:rPr>
          <w:rFonts w:ascii="Times New Roman" w:hAnsi="Times New Roman"/>
          <w:sz w:val="20"/>
        </w:rPr>
        <w:t xml:space="preserve">” means such period of time after the first date of the public offering of the Shares as in the opinion of counsel for the Underwriter a prospectus relating to the Shares is required by law to be delivered (or required to be delivered but for Rule 172 under the Securities Act) in connection with sales of the Shares by the Underwriter or dealer.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Amendments or Supplements, Issuer Free Writing Prospectuses.</w:t>
      </w:r>
      <w:r>
        <w:rPr>
          <w:rFonts w:ascii="Times New Roman" w:hAnsi="Times New Roman"/>
          <w:sz w:val="20"/>
        </w:rPr>
        <w:t xml:space="preserve"> Before making, preparing, using, authorizing, approving, referring to or filing any Issuer Free Writing Prospectus, and before filing any amendment or supplement to the Registration Statement, the Pricing Disclosure Package or the Prospectus, whether before or after the time that the Registration Statement becomes effective, the Company will furnish to the Underwriter and counsel for the Underwriter a copy of the proposed Issuer Free Writing Prospectus, amendment or supplement for review and will not make, prepare, use, authorize, approve, refer to or file any such Issuer Free Writing Prospectus or file any such proposed amendment or supplement to which the Underwriter reasonably objects.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Notice to the Underwriter.</w:t>
      </w:r>
      <w:r>
        <w:rPr>
          <w:rFonts w:ascii="Times New Roman" w:hAnsi="Times New Roman"/>
          <w:sz w:val="20"/>
        </w:rPr>
        <w:t xml:space="preserve"> The Company will advise the Underwriter promptly, and confirm such advice in writing (which may be via e-mail), including by electronic mail, (i) when the Registration Statement has become effective; (ii) when any amendment to the Registration Statement has been filed or becomes effective; (iii) when any supplement to the Pricing Disclosure Package, the Prospectus, any Issuer Free Writing Prospectus or any Written Testing-the-Waters Communication or any amendment to the Prospectus has been filed or distributed; (iv)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including, but not limited to, any request for information concerning any Testing-the-Waters Communication; (v) of the issuance by the Commission of any order suspending the effectiveness of the Registration Statement or preventing or suspending the use of any Preliminary Prospectus, any of the Pricing Disclosure Package, the Prospectus or any Written Testing-the-Waters Communication or the initiation or threatening of any proceeding for that purpose or pursuant to Section 8A of the Securities Act; (vi) of the occurrence of any event or development within the Prospectus Delivery Period as a result of which the Prospectus, any of the Pricing Disclosure Package, any Issuer Free Writing Prospectus or any Written Testing-the-Waters Communication as then amended or supplemented would include any untrue statement of a material fact or omit to state a material fact necessary in order to make the statements therein, in the light of the circumstances existing when the Prospectus, the Pricing Disclosure Package, any such Issuer Free Writing Prospectus or any Written Testing-the-Waters Communication is delivered to a purchaser, not misleading; and (vii) of the receipt by the Company of any notice with respect to any suspension of the qualification of the Shares for offer and sale in any jurisdiction or the initiation or, to the Company’s knowledge, threatening of any proceeding for such purpose; and the Company will use its reasonable best efforts to prevent the issuance of any such order suspending the effectiveness of the Registration Statement, preventing or suspending the use of any Preliminary Prospectus, any of the Pricing Disclosure Package or the Prospectus or any Written Testing-the-Waters Communication or suspending any such qualification of the Shares and, if any such order is issued, will use its reasonable best efforts to obtain as soon as possible the withdrawal thereof.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Ongoing Compliance.</w:t>
      </w:r>
      <w:r>
        <w:rPr>
          <w:rFonts w:ascii="Times New Roman" w:hAnsi="Times New Roman"/>
          <w:sz w:val="20"/>
        </w:rPr>
        <w:t xml:space="preserve"> (1) If during the Prospectus Delivery Period (i) any event or development shall occur or condition shall exist as a result of 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law, the Company will promptly notify the Underwriter thereof and forthwith prepare and, subject to paragraph (c) above, file with the Commission and furnish to the Underwriter and to such dealers as the Underwriter may designate such amendments or supplements to the Prospectus (or any document to be filed with the Commission and incorporated by reference therein) as may be necessary so that the statements in the Prospectus as so amended or supplemented (or any document to be filed with the Commission and incorporated by reference therein) will not, in the light of the circumstances existing when the Prospectus is delivered to a purchaser, be misleading or so that the Prospectus will comply with law and (2) if at any time prior to the Closing Date or any Additional Closing Date (i) any event or development shall occur or condition shall exist as a result of which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or (ii) it is necessary to amend or supplement the Pricing Disclosure Package to comply with law, the Company will promptly notify the Underwriter thereof and forthwith prepare and, subject to paragraph (c) above, file with the Commission (to the extent required) and furnish to the Underwriter and to such dealers as the Underwriter may designate such amendments or supplements to the Pricing Disclosure Package as may be necessary so that the statements in the Pricing Disclosure Package (or any document to be filed with the Commission and incorporated by reference therein) as so amended or supplemented will not, in the light of the circumstances existing when the Pricing Disclosure Package is delivered to a purchaser, be misleading or so that the Pricing Disclosure Package will comply with law.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Blue Sky Compliance.</w:t>
      </w:r>
      <w:r>
        <w:rPr>
          <w:rFonts w:ascii="Times New Roman" w:hAnsi="Times New Roman"/>
          <w:sz w:val="20"/>
        </w:rPr>
        <w:t xml:space="preserve"> The Company will qualify the Shares for offer and sale under the securities or Blue Sky laws of such jurisdictions as the Underwriter shall reasonably request and will continue such qualifications in effect so long as required for distribution of the Shares; </w:t>
      </w:r>
      <w:r>
        <w:rPr>
          <w:rFonts w:ascii="Times New Roman" w:hAnsi="Times New Roman"/>
          <w:sz w:val="20"/>
          <w:u w:val="single"/>
        </w:rPr>
        <w:t>provided</w:t>
      </w:r>
      <w:r>
        <w:rPr>
          <w:rFonts w:ascii="Times New Roman" w:hAnsi="Times New Roman"/>
          <w:sz w:val="20"/>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 xml:space="preserve">Earnings Statement. </w:t>
      </w:r>
      <w:r>
        <w:rPr>
          <w:rFonts w:ascii="Times New Roman" w:hAnsi="Times New Roman"/>
          <w:sz w:val="20"/>
        </w:rPr>
        <w:t xml:space="preserve">The Company will make generally available (which includes filings pursuant to the Exchange Act made publicly through the EDGAR system) to its security holders and the Underwriter as soon as practicable an earnings statement that satisfies the provisions of Section 11(a) of the Securities Act and Rule 158 of the Commission promulgated thereunder covering a period of at least twelve months beginning with the first fiscal quarter of the Company occurring after the “effective date” (as defined in Rule 158) of the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Clear Market.</w:t>
      </w:r>
      <w:r>
        <w:rPr>
          <w:rFonts w:ascii="Times New Roman" w:hAnsi="Times New Roman"/>
          <w:sz w:val="20"/>
        </w:rPr>
        <w:t xml:space="preserve"> For a period of 60 days after the date of the Prospectus (the “</w:t>
      </w:r>
      <w:r>
        <w:rPr>
          <w:rFonts w:ascii="Times New Roman" w:hAnsi="Times New Roman"/>
          <w:b/>
          <w:sz w:val="20"/>
        </w:rPr>
        <w:t>Restricted Period</w:t>
      </w:r>
      <w:r>
        <w:rPr>
          <w:rFonts w:ascii="Times New Roman" w:hAnsi="Times New Roman"/>
          <w:sz w:val="20"/>
        </w:rPr>
        <w:t xml:space="preserve">”), the Company will not (i) offer, pledge, sell, contract to sell, sell any option or contract to purchase, purchase any option or contract to sell, grant any option, right or warrant to purchase, lend, or otherwise transfer or dispose of, directly or indirectly, or submit to, or file with, the Commission a registration statement under the Securities Act relating to, any shares of Common Stock or any securities convertible into or exercisable or exchangeable for Common Stock, or publicly disclose the intention to undertake any of the foregoing, or (ii) enter into any swap or other agreement that transfers, in whole or in part, any of the economic consequences of ownership of the Common Stock or any such other securities, whether any such transaction described in clause (i) or (ii) above is to be settled by delivery of Stock or such other securities, in cash or otherwise, without the prior written consent of the Underwriter, other than the Shares to be sold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restrictions described above do not apply to (i) the Shares to be sold hereunder; (ii) the issuance of shares of Common Stock or securities convertible into or exercisable for shares of Stock pursuant to the conversion or exchange of convertible or exchangeable securities or the exercise of warrants or options (including net exercise) or the settlement of restricted stock units (“</w:t>
      </w:r>
      <w:r>
        <w:rPr>
          <w:rFonts w:ascii="Times New Roman" w:hAnsi="Times New Roman"/>
          <w:b/>
          <w:sz w:val="20"/>
        </w:rPr>
        <w:t>RSUs</w:t>
      </w:r>
      <w:r>
        <w:rPr>
          <w:rFonts w:ascii="Times New Roman" w:hAnsi="Times New Roman"/>
          <w:sz w:val="20"/>
        </w:rPr>
        <w:t xml:space="preserve">”) (including net settlement), in each case outstanding on the date of this Agreement and described in the Prospectus; (iii) grants of stock options, stock awards, restricted stock, RSUs, or other equity awards and the issuance of shares of Common Stock or securities convertible into or exercisable or exchangeable for shares of Common Stock (whether upon the exercise of stock options or otherwise) to the Company’s employees, officers, directors, advisors, or consultants pursuant to the terms of an equity compensation plan in effect as of the Closing Date and described in the Prospectus; (iv) the filing of any registration statement on Form S-8 relating to securities granted or to be granted pursuant to any plan in effect on the date of this Agreement and described in the Prospectus or any assumed benefit plan pursuant to an acquisition or similar strategic transaction; or (v) the establishment of an issuer trading plan pursuant to Rule 10b5-1 under the Exchange Act for the transfer of shares of Common Stock, provided that (a) such plan does not provide for the transfer of shares of Common Stock during the Restricted Period and (b) to the extent a public announcement or filing under the Exchange Act, if any, is required of or voluntarily made by the Company regarding the establishment of such plan, such announcement or filing shall include a statement to the effect that no transfer of shares of Common Stock may be made under such plan during the Restricted Period, or (vi) securities issued pursuant to acquisitions or strategic transactions approved by a majority of the disinterested directors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Use of Proceeds.</w:t>
      </w:r>
      <w:r>
        <w:rPr>
          <w:rFonts w:ascii="Times New Roman" w:hAnsi="Times New Roman"/>
          <w:sz w:val="20"/>
        </w:rPr>
        <w:t xml:space="preserve"> The Company will apply the net proceeds from the sale of the Shares as described in each of the Registration Statement, the Pricing Disclosure Package and the Prospectus under the heading “Use of Proceeds.”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No Stabilization.</w:t>
      </w:r>
      <w:r>
        <w:rPr>
          <w:rFonts w:ascii="Times New Roman" w:hAnsi="Times New Roman"/>
          <w:sz w:val="20"/>
        </w:rPr>
        <w:t xml:space="preserve"> Neither the Company nor its Subsidiaries or affiliates will take, directly or indirectly, any action designed to or that would reasonably be expected to cause or result in any stabilization or manipulation of the price of the Common Stock and will not take any action prohibited by Regulation M under the Exchange Act in connection with the distribution of the Shares contemplated hereby.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Exchange Listing.</w:t>
      </w:r>
      <w:r>
        <w:rPr>
          <w:rFonts w:ascii="Times New Roman" w:hAnsi="Times New Roman"/>
          <w:sz w:val="20"/>
        </w:rPr>
        <w:t xml:space="preserve"> The Company will use its reasonable best efforts to list, subject to notice of issuance, the Shares on The Nasdaq Stock Market (“Nasdaq”).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Reports.</w:t>
      </w:r>
      <w:r>
        <w:rPr>
          <w:rFonts w:ascii="Times New Roman" w:hAnsi="Times New Roman"/>
          <w:sz w:val="20"/>
        </w:rPr>
        <w:t xml:space="preserve"> For a period of two years from the date hereof, the Company will furnish to the Underwriter, as soon as they are available, copies of all reports or other communications (financial or other) furnished to holders of the Shares, and copies of any reports and financial statements furnished to or filed with the Commission or any national securities exchange or automatic quotation system; </w:t>
      </w:r>
      <w:r>
        <w:rPr>
          <w:rFonts w:ascii="Times New Roman" w:hAnsi="Times New Roman"/>
          <w:sz w:val="20"/>
          <w:u w:val="single"/>
        </w:rPr>
        <w:t>provided</w:t>
      </w:r>
      <w:r>
        <w:rPr>
          <w:rFonts w:ascii="Times New Roman" w:hAnsi="Times New Roman"/>
          <w:sz w:val="20"/>
        </w:rPr>
        <w:t xml:space="preserve"> the Company will be deemed to have furnished such reports and financial statements to the Underwriter to the extent they are filed on the Commission’s Electronic Data Gathering, Analysis, and Retrieval system.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Record Retention</w:t>
      </w:r>
      <w:r>
        <w:rPr>
          <w:rFonts w:ascii="Times New Roman" w:hAnsi="Times New Roman"/>
          <w:sz w:val="20"/>
        </w:rPr>
        <w:t xml:space="preserve">. The Company will, pursuant to reasonable procedures developed in good faith, retain copies of each Issuer Free Writing Prospectus that is not filed with the Commission in accordance with Rule 433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Certain Agreements of the Underwriter</w:t>
      </w:r>
      <w:r>
        <w:rPr>
          <w:rFonts w:ascii="Times New Roman" w:hAnsi="Times New Roman"/>
          <w:sz w:val="20"/>
        </w:rPr>
        <w:t xml:space="preserve">. The Underwriter hereby represents and agrees that: </w:t>
      </w:r>
    </w:p>
    <w:p>
      <w:pPr>
        <w:pStyle w:val="TextBody"/>
        <w:bidi w:val="0"/>
        <w:spacing w:before="120" w:after="0"/>
        <w:jc w:val="left"/>
        <w:rPr>
          <w:rFonts w:ascii="Times New Roman" w:hAnsi="Times New Roman"/>
          <w:sz w:val="20"/>
        </w:rPr>
      </w:pPr>
      <w:r>
        <w:rPr>
          <w:rFonts w:ascii="Times New Roman" w:hAnsi="Times New Roman"/>
          <w:sz w:val="20"/>
        </w:rPr>
        <w:t>(a) It has not and will not use, authorize use of, refer to or participate in the planning for use of, any “free writing prospectus,” as defined in Rule 405 under the Securities Act (which term includes use of any written information furnished to the Commission by the Company and not incorporated by reference into the Registration Statement and any press release issued by the Company) other than (i) a free writing prospectus that contains no “issuer information” (as defined in Rule 433(h)(2) under the Securities Act) that was not included (including through incorporation by reference) in the Preliminary Prospectus or a previously filed Issuer Free Writing Prospectus, (ii) any Issuer Free Writing Prospectus listed on Annex A or prepared pursuant to Section 3(c) or Section 4(c) above (including any electronic road show), or (iii) any free writing prospectus prepared by the Underwriter and approved by the Company in advance in writing (each such free writing prospectus referred to in clauses (i) or (iii), an “</w:t>
      </w:r>
      <w:r>
        <w:rPr>
          <w:rFonts w:ascii="Times New Roman" w:hAnsi="Times New Roman"/>
          <w:b/>
          <w:sz w:val="20"/>
        </w:rPr>
        <w:t>Underwriter Free Writing Prospectus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It has not and will not, without the prior written consent of the Company, use any free writing prospectus that contains the final terms of the Shares unless such terms have previously been included in a free writing prospectus filed with the Commission; </w:t>
      </w:r>
      <w:r>
        <w:rPr>
          <w:rFonts w:ascii="Times New Roman" w:hAnsi="Times New Roman"/>
          <w:i/>
          <w:sz w:val="20"/>
        </w:rPr>
        <w:t>provided</w:t>
      </w:r>
      <w:r>
        <w:rPr>
          <w:rFonts w:ascii="Times New Roman" w:hAnsi="Times New Roman"/>
          <w:sz w:val="20"/>
        </w:rPr>
        <w:t xml:space="preserve"> that the Underwriter may use a term sheet substantially in the form of Annex C hereto without the consent of the Company; </w:t>
      </w:r>
      <w:r>
        <w:rPr>
          <w:rFonts w:ascii="Times New Roman" w:hAnsi="Times New Roman"/>
          <w:i/>
          <w:sz w:val="20"/>
        </w:rPr>
        <w:t>provided further</w:t>
      </w:r>
      <w:r>
        <w:rPr>
          <w:rFonts w:ascii="Times New Roman" w:hAnsi="Times New Roman"/>
          <w:sz w:val="20"/>
        </w:rPr>
        <w:t xml:space="preserve"> that the Underwriter using such term sheet shall notify the Company, and provide a copy of such term sheet to the Company, prior to, or substantially concurrently with, the first use of such term sheet. </w:t>
      </w:r>
    </w:p>
    <w:p>
      <w:pPr>
        <w:pStyle w:val="TextBody"/>
        <w:bidi w:val="0"/>
        <w:spacing w:before="120" w:after="0"/>
        <w:jc w:val="left"/>
        <w:rPr>
          <w:rFonts w:ascii="Times New Roman" w:hAnsi="Times New Roman"/>
          <w:sz w:val="20"/>
        </w:rPr>
      </w:pPr>
      <w:r>
        <w:rPr>
          <w:rFonts w:ascii="Times New Roman" w:hAnsi="Times New Roman"/>
          <w:sz w:val="20"/>
        </w:rPr>
        <w:t xml:space="preserve">(c) It is not subject to any pending proceeding under Section 8A of the Securities Act with respect to the offering (and will promptly notify the Company if any such proceeding against it is initiated during the Prospectus Delivery Period). </w:t>
      </w:r>
    </w:p>
    <w:p>
      <w:pPr>
        <w:pStyle w:val="TextBody"/>
        <w:bidi w:val="0"/>
        <w:spacing w:before="120" w:after="0"/>
        <w:jc w:val="left"/>
        <w:rPr>
          <w:rFonts w:ascii="Times New Roman" w:hAnsi="Times New Roman"/>
          <w:sz w:val="20"/>
        </w:rPr>
      </w:pPr>
      <w:r>
        <w:rPr>
          <w:rFonts w:ascii="Times New Roman" w:hAnsi="Times New Roman"/>
          <w:sz w:val="20"/>
        </w:rPr>
        <w:t xml:space="preserve">(d) It has not and will not take any action that would result in the Company being required to file with the Commission under Rule 433(d) a free writing prospectus prepared by or on behalf of such Underwriter that otherwise would not be required to be filed by the Company thereunder, but for the action of such Underwriter.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Conditions of Underwriter’s Obligations.</w:t>
      </w:r>
      <w:r>
        <w:rPr>
          <w:rFonts w:ascii="Times New Roman" w:hAnsi="Times New Roman"/>
          <w:sz w:val="20"/>
        </w:rPr>
        <w:t xml:space="preserve"> The obligation of the Underwriter to purchase the Underwritten Shares on the Closing Date or the Option Shares on the Additional Closing Date, as the case may be, as provided herein is subject to the performance by the Company of its covenants and other obligations hereunder and to the following additional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Registration Compliance; No Stop Order.</w:t>
      </w:r>
      <w:r>
        <w:rPr>
          <w:rFonts w:ascii="Times New Roman" w:hAnsi="Times New Roman"/>
          <w:sz w:val="20"/>
        </w:rPr>
        <w:t xml:space="preserve"> No order suspending the effectiveness of the Registration Statement shall be in effect, and no proceeding for such purpose or 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4(a) hereof; and all requests by the Commission for additional information shall have been complied with to the reasonable satisfaction of the Underwriter.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Representations and Warranties.</w:t>
      </w:r>
      <w:r>
        <w:rPr>
          <w:rFonts w:ascii="Times New Roman" w:hAnsi="Times New Roman"/>
          <w:sz w:val="20"/>
        </w:rPr>
        <w:t xml:space="preserve"> The representations and warranties of the Company contained herein shall be true and correct on the date hereof and on and as of the Closing Date or the Additional Closing Date, as the case may be; and the statements of the Company and its officers made in any certificates delivered pursuant to this Agreement shall be true and correct on and as of the Closing Date or the Additional Closing Date,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No Material Adverse Effect.</w:t>
      </w:r>
      <w:r>
        <w:rPr>
          <w:rFonts w:ascii="Times New Roman" w:hAnsi="Times New Roman"/>
          <w:sz w:val="20"/>
        </w:rPr>
        <w:t xml:space="preserve"> No event or condition of a type described in Section 3(h) hereof shall have occurred or shall exist, which event or condition is not described in the Pricing Disclosure Package (excluding any amendment or supplement thereto) and the Prospectus (excluding any amendment or supplement thereto) and the effect of which in the judgment of the Underwriter makes it impracticable or inadvisable to proceed with the offering, sale or delivery of the Shares on the Closing Date or the Additional Closing Date, as the case may be, on the terms and in the manner contemplated by this Agreement, the Pricing Disclosure Package and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Officer</w:t>
      </w:r>
      <w:r>
        <w:rPr>
          <w:rFonts w:ascii="Times New Roman" w:hAnsi="Times New Roman"/>
          <w:sz w:val="20"/>
        </w:rPr>
        <w:t>’</w:t>
      </w:r>
      <w:r>
        <w:rPr>
          <w:rFonts w:ascii="Times New Roman" w:hAnsi="Times New Roman"/>
          <w:i/>
          <w:sz w:val="20"/>
        </w:rPr>
        <w:t>s Certificate.</w:t>
      </w:r>
      <w:r>
        <w:rPr>
          <w:rFonts w:ascii="Times New Roman" w:hAnsi="Times New Roman"/>
          <w:sz w:val="20"/>
        </w:rPr>
        <w:t xml:space="preserve"> The Underwriter shall have received on and as of the Closing Date or the Additional Closing Date, as the case may be, a certificate of the chief financial officer or chief executive officer of the Company (i) confirming that such officer has carefully reviewed the Registration Statement, the Pricing Disclosure Package and the Prospectus and, to the knowledge of such officer, the representations set forth in Sections 3(b) and 3(d) hereof are true and correct, (ii) confirming that the other representations and warranties of the Company in this Agreement are true and correct and that the Company has complied with all agreements and satisfied all conditions on its part to be performed or satisfied hereunder at or prior to the Closing Date or the Additional Closing Date, as the case may be, and (iii) to the effect set forth in paragraphs (a), (b) and (c) above.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Comfort Letters.</w:t>
      </w:r>
      <w:r>
        <w:rPr>
          <w:rFonts w:ascii="Times New Roman" w:hAnsi="Times New Roman"/>
          <w:sz w:val="20"/>
        </w:rPr>
        <w:t xml:space="preserve"> On the date of this Agreement and on the Closing Date or the Additional Closing Date, as the case may be, PricewaterhouseCoopers LLP shall have furnished to the Underwriter, at the request of the Company, letters, dated the respective dates of delivery thereof and addressed to the Underwriter, in form and substance reasonably satisfactory to the Underwriter, containing statements and information of the type customarily included in accountants’ “comfort letters” to underwriters with respect to the financial statements and certain financial information contained or incorporated by reference in each of the Registration Statement, the Pricing Disclosure Package and the Prospectus; provided, that the letter delivered on the Closing Date or the Additional Closing Date, as the case may be, shall use a “cut-off” date no more than two business days prior to such Closing Date or such Additional Closing Date,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Opinion and Negative Assurance Letter of Counsel for the Company.</w:t>
      </w:r>
      <w:r>
        <w:rPr>
          <w:rFonts w:ascii="Times New Roman" w:hAnsi="Times New Roman"/>
          <w:sz w:val="20"/>
        </w:rPr>
        <w:t xml:space="preserve"> Latham &amp; Watkins LLP, counsel for the Company, shall have furnished to the Underwriter, at the request of the Company, its written opinion and negative assurance letter, dated the Closing Date or the Additional Closing Date, as the case may be, and addressed to the Underwriter, in form and substance reasonably satisfactory to the Underwriter.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Negative Assurance Statement of Counsel for the Underwriter.</w:t>
      </w:r>
      <w:r>
        <w:rPr>
          <w:rFonts w:ascii="Times New Roman" w:hAnsi="Times New Roman"/>
          <w:sz w:val="20"/>
        </w:rPr>
        <w:t xml:space="preserve"> The Underwriter shall have received on and as of the Closing Date or the Additional Closing Date, as the case may be, a negative assurance statement, addressed to the Underwriter, of Faegre Drinker Biddle &amp; Reath LLP, counsel for the Underwriter, with respect to such matters as the Underwriter may reasonably request, and such counsel shall have received such documents and information as they may reasonably request to enable them to pass upon such matters.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No Legal Impediment to Issuance and Sale.</w:t>
      </w:r>
      <w:r>
        <w:rPr>
          <w:rFonts w:ascii="Times New Roman" w:hAnsi="Times New Roman"/>
          <w:sz w:val="20"/>
        </w:rPr>
        <w:t xml:space="preserve"> No action shall have been taken and no statute, rule, regulation or order shall have been enacted, adopted or issued by any federal, state or foreign governmental or regulatory authority that would, as of the Closing Date or the Additional Closing Date, as the case may be, prevent the issuance or sale of the Shares; and no injunction or order of any federal, state or foreign court shall have been issued that would, as of the Closing Date or the Additional Closing Date, as the case may be, prevent the issuance or sale of the Shares.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Good Standing</w:t>
      </w:r>
      <w:r>
        <w:rPr>
          <w:rFonts w:ascii="Times New Roman" w:hAnsi="Times New Roman"/>
          <w:sz w:val="20"/>
        </w:rPr>
        <w:t xml:space="preserve">. The Underwriter shall have received on the Closing Date or the Additional Closing Date, as the case may be, satisfactory evidence of the good standing of the Company in its jurisdictions of organization, in writing or any standard form of telecommunication from the appropriate governmental authority of such jurisdiction.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Exchange Listing.</w:t>
      </w:r>
      <w:r>
        <w:rPr>
          <w:rFonts w:ascii="Times New Roman" w:hAnsi="Times New Roman"/>
          <w:sz w:val="20"/>
        </w:rPr>
        <w:t xml:space="preserve"> The Company shall have filed a Listing of Additional Shares Notification Form with Nasdaq with respect to the Shares and shall have not received any objection thereto from Nasdaq.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Lock-up Agreements</w:t>
      </w:r>
      <w:r>
        <w:rPr>
          <w:rFonts w:ascii="Times New Roman" w:hAnsi="Times New Roman"/>
          <w:sz w:val="20"/>
        </w:rPr>
        <w:t xml:space="preserve">. The “lock-up” agreements, each substantially in the form of Exhibit A hereto, between the Underwriter, executive officers and directors of the Company relating to sales and certain other dispositions of shares of Stock or certain other securities, delivered to the Underwriter on or before the date hereof, shall be full force and effect on the Closing Date or the Additional Closing Date,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FINRA</w:t>
      </w:r>
      <w:r>
        <w:rPr>
          <w:rFonts w:ascii="Times New Roman" w:hAnsi="Times New Roman"/>
          <w:sz w:val="20"/>
        </w:rPr>
        <w:t xml:space="preserve">. FINRA shall not have raised any objection with respect to the fairness or reasonableness of the underwriting or other arrangements of the transactions contemplated hereunder. </w:t>
      </w:r>
    </w:p>
    <w:p>
      <w:pPr>
        <w:pStyle w:val="TextBody"/>
        <w:bidi w:val="0"/>
        <w:spacing w:before="120" w:after="0"/>
        <w:jc w:val="left"/>
        <w:rPr>
          <w:rFonts w:ascii="Times New Roman" w:hAnsi="Times New Roman"/>
          <w:sz w:val="20"/>
        </w:rPr>
      </w:pPr>
      <w:r>
        <w:rPr>
          <w:rFonts w:ascii="Times New Roman" w:hAnsi="Times New Roman"/>
          <w:sz w:val="20"/>
        </w:rPr>
        <w:t xml:space="preserve">(m) [Reserved] </w:t>
      </w:r>
    </w:p>
    <w:p>
      <w:pPr>
        <w:pStyle w:val="TextBody"/>
        <w:bidi w:val="0"/>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Additional</w:t>
      </w:r>
      <w:r>
        <w:rPr>
          <w:rFonts w:ascii="Times New Roman" w:hAnsi="Times New Roman"/>
          <w:sz w:val="20"/>
        </w:rPr>
        <w:t xml:space="preserve"> </w:t>
      </w:r>
      <w:r>
        <w:rPr>
          <w:rFonts w:ascii="Times New Roman" w:hAnsi="Times New Roman"/>
          <w:i/>
          <w:sz w:val="20"/>
        </w:rPr>
        <w:t>Documents.</w:t>
      </w:r>
      <w:r>
        <w:rPr>
          <w:rFonts w:ascii="Times New Roman" w:hAnsi="Times New Roman"/>
          <w:sz w:val="20"/>
        </w:rPr>
        <w:t xml:space="preserve"> On or prior to the Closing Date or the Additional Closing Date, as the case may be, the Company shall have furnished to the Underwriter such further certificates and documents as the Underwriter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All opinions, letters, certificates and evidence mentioned above or elsewhere in this Agreement shall be deemed to be in compliance with the provisions hereof only if they are in form and substance reasonably satisfactory to counsel for the Underwriter.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Indemnification and Contribution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Indemnification of the Underwriter.</w:t>
      </w:r>
      <w:r>
        <w:rPr>
          <w:rFonts w:ascii="Times New Roman" w:hAnsi="Times New Roman"/>
          <w:sz w:val="20"/>
        </w:rPr>
        <w:t xml:space="preserve"> The Company agrees to indemnify and hold harmless the Underwriter, its affiliates, directors and officers and each person, if any, who controls such Underwriter within the meaning of Section 15 of the Securities Act or Section 20 of the Exchange Act, from and against any and all losses, claims, damages and liabilities (including, without limitation, legal fees and other expenses incurred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Preliminary Prospectus, any Issuer Free Writing Prospectus, any “issuer information” filed or required to be filed pursuant to Rule 433(d) under the Securities Act, any Written Testing-the-Waters Communication, any road show as defined in Rule 433(h) under the Securities Act (a “</w:t>
      </w:r>
      <w:r>
        <w:rPr>
          <w:rFonts w:ascii="Times New Roman" w:hAnsi="Times New Roman"/>
          <w:b/>
          <w:sz w:val="20"/>
        </w:rPr>
        <w:t>road show</w:t>
      </w:r>
      <w:r>
        <w:rPr>
          <w:rFonts w:ascii="Times New Roman" w:hAnsi="Times New Roman"/>
          <w:sz w:val="20"/>
        </w:rPr>
        <w:t xml:space="preserve">”) or any Pricing Disclosure Package (including any Pricing Disclosure Package that has subsequently been amended), or caused by any omission or alleged omission to state therein a material fact necessary in order to make the statements therein, in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the Underwriter furnished to the Company in writing by the Underwriter through the Underwriter expressly for use therein, it being understood and agreed that the only such information furnished by the Underwriter consists of the information described as such in paragraph (b) below.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Indemnification of the Company.</w:t>
      </w:r>
      <w:r>
        <w:rPr>
          <w:rFonts w:ascii="Times New Roman" w:hAnsi="Times New Roman"/>
          <w:sz w:val="20"/>
        </w:rPr>
        <w:t xml:space="preserve"> The Underwriter agrees, severally and not jointly, to indemnify and hold harmless the Company, its directors, its officers who signed the Registration 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through the Underwriter expressly for use in the Registration Statement, the Prospectus (or any amendment or supplement thereto), any Preliminary Prospectus, any Issuer Free Writing Prospectus, any Written Testing-the-Waters Communication, any road show or any Pricing Disclosure Package (including any Pricing Disclosure Package that has subsequently been amended), it being understood and agreed upon that the only such information furnished by the Underwriter consists of [(i) the concession and reallowance figures appearing in the second paragraph under the caption “Underwriting,” (ii) paragraphs one, two and three under the caption “Price Stabilization, Short Position and Penalty Bids,” (iii) the second, third and fourth sentence in the first paragraph under “Electronic Offer, Sale and Distribution.”]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Notice and Procedures.</w:t>
      </w:r>
      <w:r>
        <w:rPr>
          <w:rFonts w:ascii="Times New Roman" w:hAnsi="Times New Roman"/>
          <w:sz w:val="20"/>
        </w:rPr>
        <w:t xml:space="preserve"> If any suit, action, proceeding (including any governmental or regulatory investigation), claim or demand shall be brought or asserted against any person in respect of which indemnification may be sought pursuant to the preceding paragraphs of this Section 7, such person (the “</w:t>
      </w:r>
      <w:r>
        <w:rPr>
          <w:rFonts w:ascii="Times New Roman" w:hAnsi="Times New Roman"/>
          <w:b/>
          <w:sz w:val="20"/>
        </w:rPr>
        <w:t>Indemnified Person</w:t>
      </w:r>
      <w:r>
        <w:rPr>
          <w:rFonts w:ascii="Times New Roman" w:hAnsi="Times New Roman"/>
          <w:sz w:val="20"/>
        </w:rPr>
        <w:t>”) shall promptly notify the person against whom such indemnification may be sought (the “</w:t>
      </w:r>
      <w:r>
        <w:rPr>
          <w:rFonts w:ascii="Times New Roman" w:hAnsi="Times New Roman"/>
          <w:b/>
          <w:sz w:val="20"/>
        </w:rPr>
        <w:t>Indemnifying Person</w:t>
      </w:r>
      <w:r>
        <w:rPr>
          <w:rFonts w:ascii="Times New Roman" w:hAnsi="Times New Roman"/>
          <w:sz w:val="20"/>
        </w:rPr>
        <w:t xml:space="preserve">”) in writing; </w:t>
      </w:r>
      <w:r>
        <w:rPr>
          <w:rFonts w:ascii="Times New Roman" w:hAnsi="Times New Roman"/>
          <w:sz w:val="20"/>
          <w:u w:val="single"/>
        </w:rPr>
        <w:t>provided</w:t>
      </w:r>
      <w:r>
        <w:rPr>
          <w:rFonts w:ascii="Times New Roman" w:hAnsi="Times New Roman"/>
          <w:sz w:val="20"/>
        </w:rPr>
        <w:t xml:space="preserve"> that the failure to notify the Indemnifying Person shall not relieve it from any liability that it may have under the preceding paragraphs of this Section 7 except to the extent that it has been materially prejudiced (through the forfeiture of substantive rights or defenses) by such failure;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failure to notify the Indemnifying Person shall not relieve it from any liability that it may have to an Indemnified Person otherwise than under the preceding paragraphs of this Section 7.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and any others entitled to indemnification pursuant to this Section that the Indemnifying Person may designate in such proceeding and shall pay the reasonable fees and expenses in such proceeding and shall pay the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reasonable fees and expenses of more than one separate firm (in addition to any local counsel) for all Indemnified Persons, and that all such fees and expenses shall be paid or reimbursed as they are incurred. Any such separate firm for the Underwriter, its affiliates, directors and officers and any control persons of such Underwriter shall be designated in writing by the Underwriter and any such separate firm for the Company, its directors, its officers who signed the Registration Statement and any control persons of the Company shall be designated in writing by the Company. The Indemnifying Person shall not be liable for any settlement of any proceeding effected without its written consent, but if settled with such consent, the Indemnifying Person agrees to indemnify each Indemnified Person from and against any loss or liability by reason of such settlement. Notwithstanding the foregoing sentence, if at any time an Indemnified Person shall have requested that an Indemnifying Person reimburse the Indemnified Person for fees and expenses of counsel as contemplated by this paragraph, the Indemnifying Person shall be liable for any settlement of any proceeding effected without its written consent if (i) such settlement is entered into in good faith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Contribution.</w:t>
      </w:r>
      <w:r>
        <w:rPr>
          <w:rFonts w:ascii="Times New Roman" w:hAnsi="Times New Roman"/>
          <w:sz w:val="20"/>
        </w:rPr>
        <w:t xml:space="preserve"> If the indemnification provided for in paragraphs (a) or (b) above is unavailable to an Indemnified Person or insufficient in 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on the one hand, and the Underwriter on the other, from the offering of the Shares or (ii) if the allocation provided by clause (i) is not permitted by applicable law, in such proportion as is appropriate to reflect not only the relative benefits referred to in clause (i) but also the relative fault of the Company, on the one hand, and the Underwriter on the other, in connection with the statements or omissions that resulted in such losses, claims, damages or liabilities, as well as any other relevant equitable considerations. The relative benefits received by the Company, on the one hand, and the Underwriter on the other, shall be deemed to be in the same respective proportions as the net proceeds (before deducting expenses) received by the Company from the sale of the Shares and the total underwriting discounts and commissions received by the Underwriter in connection therewith, in each case as set forth in the table on the cover of the Prospectus, bear to the aggregate offering price of the Shares. The relative fault of the Company, on the one hand, and the Underwriter on the other, shall be determined by reference to, among other things, whether the untrue or alleged untrue statement of a material fact or the omission or alleged omission to state a material fact relates to information supplied by the Company or by the Underwriter and the parties’ relative intent, knowledge, access to information and opportunity to correct or prevent such statement or omission.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 xml:space="preserve">Limitation on Liability. </w:t>
      </w:r>
      <w:r>
        <w:rPr>
          <w:rFonts w:ascii="Times New Roman" w:hAnsi="Times New Roman"/>
          <w:sz w:val="20"/>
        </w:rPr>
        <w:t xml:space="preserve">The Company and the Underwriter agree that it would not be just and equitable if contribution pursuant to paragraph (d) above were determined by pro rata allocation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reasonable legal or other expenses incurred by such Indemnified Person in connection with any such action or claim. Notwithstanding the provisions of paragraphs (d) and (e), in no event shall an Underwriter be required to contribute any amount in excess of the amount by which the total underwriting discounts and commissions received by such Underwriter with respect to the offering of the Shares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Non-Exclusive Remedies.</w:t>
      </w:r>
      <w:r>
        <w:rPr>
          <w:rFonts w:ascii="Times New Roman" w:hAnsi="Times New Roman"/>
          <w:sz w:val="20"/>
        </w:rPr>
        <w:t xml:space="preserve"> The remedies provided for in this Section 7 paragraphs (a) through (e) are not exclusive and shall not limit any rights or remedies which may otherwise be available to any Indemnified Person at law or in equity.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Effectiveness of Agreement</w:t>
      </w:r>
      <w:r>
        <w:rPr>
          <w:rFonts w:ascii="Times New Roman" w:hAnsi="Times New Roman"/>
          <w:sz w:val="20"/>
        </w:rPr>
        <w:t xml:space="preserve">. This Agreement shall become effective as of the date first written above upon the execution and delivery hereof by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Termination</w:t>
      </w:r>
      <w:r>
        <w:rPr>
          <w:rFonts w:ascii="Times New Roman" w:hAnsi="Times New Roman"/>
          <w:sz w:val="20"/>
        </w:rPr>
        <w:t xml:space="preserve">. This Agreement may be terminated in the absolute discretion of the Underwriter, by notice to the Company, if after the execution and delivery of this Agreement and on or prior to the Closing Date or, in the case of the Option Shares, prior to the Additional Closing Date (i) trading generally shall have been suspended or materially limited on or by any of the New York Stock Exchange or The Nasdaq Stock Market; (ii) trading of any securities issued or guaranteed by the Company shall have been suspended on any exchange or in any over-the-counter market; (iii) a general moratorium on commercial banking activities shall have been declared by federal or New York State authorities; or (iv) there shall have occurred any outbreak or escalation of hostilities or any change in financial markets or any calamity or crisis, either within or outside the United States, that, in the judgment of the Underwriter, is material and adverse and makes it impracticable or inadvisable to proceed with the offering, sale or delivery of the Shares on the Closing Date or the Additional Closing Date, as the case may be, on the terms and in the manner contemplated by this Agreement, the Pricing Disclosure Package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Payment of Expenses</w:t>
      </w:r>
      <w:r>
        <w:rPr>
          <w:rFonts w:ascii="Times New Roman" w:hAnsi="Times New Roman"/>
          <w:i/>
          <w:sz w:val="20"/>
        </w:rPr>
        <w:t>.</w:t>
      </w:r>
      <w:r>
        <w:rPr>
          <w:rFonts w:ascii="Times New Roman" w:hAnsi="Times New Roman"/>
          <w:sz w:val="20"/>
        </w:rPr>
        <w:t xml:space="preserve"> Whether or not the transactions contemplated by this Agreement are consummated or this Agreement is terminated, the Company will pay or cause to be paid reasonable, actual and accountable costs, fees and expenses incurred in connection with the transactions contemplated hereby including without limitation, (i) the costs incident to the authorization, issuance, sale, preparation and delivery of the Shares and any taxes payable in that connection; (ii) the costs incident to the preparation, printing and filing under the Securities Act of the Registration Statement, the Preliminary Prospectus, any Issuer Free Writing Prospectus, any Pricing Disclosure Package and the Prospectus (including all exhibits, amendments and supplements thereto) and the distribution thereof; (iii) the fees and expenses of the Company’s counsel and independent accountants; (iv) the fees and expenses incurred in connection with the registration or qualification and determination of eligibility for investment of the Shares under the laws of such jurisdictions as the Underwriter may designate and the preparation, printing and distribution of a Blue Sky Memorandum (including the related fees and expenses of counsel for the Underwriter); (v) the cost of preparing stock certificates; (vi) the costs and charges of any transfer agent and any registrar; (vii) all expenses and application fees incurred in connection with any filing with, and clearance of the offering by, FINRA; (viii) all expenses incurred by the Company in connection with any “road show” presentation to potential investors; (ix) all expenses and application fees related to the listing of the Shares on Nasdaq; and (x) all of the Underwriter’s accountable expenses and fees in connection with the offer, sale and marketing of the Shares, including reasonable fees and disbursements of the Underwriter’ legal counsel, but such reimbursement pursuant to this Section 10(x) will not exceed, without the Company’s prior written approval, $150,000 of total reimbursable expenses. </w:t>
      </w:r>
    </w:p>
    <w:p>
      <w:pPr>
        <w:pStyle w:val="TextBody"/>
        <w:bidi w:val="0"/>
        <w:spacing w:before="240" w:after="0"/>
        <w:jc w:val="left"/>
        <w:rPr>
          <w:rFonts w:ascii="Times New Roman" w:hAnsi="Times New Roman"/>
          <w:sz w:val="20"/>
        </w:rPr>
      </w:pPr>
      <w:r>
        <w:rPr>
          <w:rFonts w:ascii="Times New Roman" w:hAnsi="Times New Roman"/>
          <w:sz w:val="20"/>
        </w:rPr>
        <w:t xml:space="preserve">(a) If (i) this Agreement is terminated pursuant to Section 8, (ii) the Company for any reason fails to tender the Shares for delivery to the Underwriter or (iii) the Underwriter declines to purchase the Shares for any reason permitted under this Agreement, the Company agrees to reimburse the Underwriter for all out-of-pocket costs and expenses (including the fees and expenses of its counsel) reasonably and actually incurred by the Underwriter in connection with this Agreement and the offering contemplated hereby, not to exceed $150,000.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Persons Entitled to Benefit of Agreement</w:t>
      </w:r>
      <w:r>
        <w:rPr>
          <w:rFonts w:ascii="Times New Roman" w:hAnsi="Times New Roman"/>
          <w:sz w:val="20"/>
        </w:rPr>
        <w:t xml:space="preserve">. This Agreement shall inure to the benefit of and be binding upon the parties hereto and their respective successors and the officers and directors and any controlling persons referred to herein, and the affiliates of the Underwriter referred to in Section 7 hereof. Nothing in this Agreement is intended or shall be construed to give any other person any legal or equitable right, remedy or claim under or in respect of this Agreement or any provision contained herein. No purchaser of Shares from the Underwriter shall be deemed to be a successor merely by reason of such purchase.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Survival</w:t>
      </w:r>
      <w:r>
        <w:rPr>
          <w:rFonts w:ascii="Times New Roman" w:hAnsi="Times New Roman"/>
          <w:sz w:val="20"/>
        </w:rPr>
        <w:t xml:space="preserve">. The respective indemnities, rights of contribution, representations, warranties and agreements of the Company and the Underwriter contained in this Agreement or made by or on behalf of the Company or the Underwriter pursuant to this Agreement or any certificate delivered pursuant hereto shall survive the delivery of and payment for the Shares and shall remain in full force and effect, regardless of any termination of this Agreement or any investigation made by or on behalf of the Company or the Underwriter or the directors, officers, controlling persons or affiliates referred to in Section 7 hereof.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Certain Defined Terms</w:t>
      </w:r>
      <w:r>
        <w:rPr>
          <w:rFonts w:ascii="Times New Roman" w:hAnsi="Times New Roman"/>
          <w:sz w:val="20"/>
        </w:rPr>
        <w:t>. For purposes of this Agreement, (a) except where otherwise expressly provided, the term “</w:t>
      </w:r>
      <w:r>
        <w:rPr>
          <w:rFonts w:ascii="Times New Roman" w:hAnsi="Times New Roman"/>
          <w:b/>
          <w:sz w:val="20"/>
        </w:rPr>
        <w:t>affiliate</w:t>
      </w:r>
      <w:r>
        <w:rPr>
          <w:rFonts w:ascii="Times New Roman" w:hAnsi="Times New Roman"/>
          <w:sz w:val="20"/>
        </w:rPr>
        <w:t>” has the meaning set forth in Rule 405 under the Securities Act; (b) the term “</w:t>
      </w:r>
      <w:r>
        <w:rPr>
          <w:rFonts w:ascii="Times New Roman" w:hAnsi="Times New Roman"/>
          <w:b/>
          <w:sz w:val="20"/>
        </w:rPr>
        <w:t>business day</w:t>
      </w:r>
      <w:r>
        <w:rPr>
          <w:rFonts w:ascii="Times New Roman" w:hAnsi="Times New Roman"/>
          <w:sz w:val="20"/>
        </w:rPr>
        <w:t xml:space="preserve">” means any day other than a day on which banks are permitted or required to be closed in New York City.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Compliance with USA Patriot Act</w:t>
      </w:r>
      <w:r>
        <w:rPr>
          <w:rFonts w:ascii="Times New Roman" w:hAnsi="Times New Roman"/>
          <w:sz w:val="20"/>
        </w:rPr>
        <w:t xml:space="preserve">. In accordance with the requirements of the USA Patriot Act (Title III of Pub. L. 107-56 (signed into law October 26, 2001)), the Underwriter is required to obtain, verify and record information that identifies their clients, including the Company, which information may include the name and address of its clients, as well as other information that will allow the Underwriter to properly identify their clients.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Notices.</w:t>
      </w:r>
      <w:r>
        <w:rPr>
          <w:rFonts w:ascii="Times New Roman" w:hAnsi="Times New Roman"/>
          <w:sz w:val="20"/>
        </w:rPr>
        <w:t xml:space="preserve"> All notices and other communications hereunder shall be in writing and shall be deemed to have been duly given if mailed or transmitted and confirmed by any standard form of telecommunication. Notices to the parties as follows: </w:t>
      </w:r>
    </w:p>
    <w:p>
      <w:pPr>
        <w:pStyle w:val="TextBody"/>
        <w:bidi w:val="0"/>
        <w:spacing w:before="120" w:after="0"/>
        <w:jc w:val="left"/>
        <w:rPr>
          <w:rFonts w:ascii="Times New Roman" w:hAnsi="Times New Roman"/>
          <w:sz w:val="20"/>
        </w:rPr>
      </w:pPr>
      <w:r>
        <w:rPr>
          <w:rFonts w:ascii="Times New Roman" w:hAnsi="Times New Roman"/>
          <w:sz w:val="20"/>
        </w:rPr>
        <w:t xml:space="preserve">If to the Underwriter: </w:t>
      </w:r>
    </w:p>
    <w:p>
      <w:pPr>
        <w:pStyle w:val="TextBody"/>
        <w:bidi w:val="0"/>
        <w:spacing w:before="120" w:after="0"/>
        <w:jc w:val="left"/>
        <w:rPr>
          <w:rFonts w:ascii="Times New Roman" w:hAnsi="Times New Roman"/>
          <w:sz w:val="20"/>
        </w:rPr>
      </w:pPr>
      <w:r>
        <w:rPr>
          <w:rFonts w:ascii="Times New Roman" w:hAnsi="Times New Roman"/>
          <w:sz w:val="20"/>
        </w:rPr>
        <w:t xml:space="preserve">Northland Securities, Inc. </w:t>
      </w:r>
    </w:p>
    <w:p>
      <w:pPr>
        <w:pStyle w:val="TextBody"/>
        <w:bidi w:val="0"/>
        <w:spacing w:before="0" w:after="0"/>
        <w:jc w:val="left"/>
        <w:rPr>
          <w:rFonts w:ascii="Times New Roman" w:hAnsi="Times New Roman"/>
          <w:sz w:val="20"/>
        </w:rPr>
      </w:pPr>
      <w:r>
        <w:rPr>
          <w:rFonts w:ascii="Times New Roman" w:hAnsi="Times New Roman"/>
          <w:sz w:val="20"/>
        </w:rPr>
        <w:t xml:space="preserve">150 South Fifth Street, Suite 3300 </w:t>
      </w:r>
    </w:p>
    <w:p>
      <w:pPr>
        <w:pStyle w:val="TextBody"/>
        <w:bidi w:val="0"/>
        <w:spacing w:before="0" w:after="0"/>
        <w:jc w:val="left"/>
        <w:rPr>
          <w:rFonts w:ascii="Times New Roman" w:hAnsi="Times New Roman"/>
          <w:sz w:val="20"/>
        </w:rPr>
      </w:pPr>
      <w:r>
        <w:rPr>
          <w:rFonts w:ascii="Times New Roman" w:hAnsi="Times New Roman"/>
          <w:sz w:val="20"/>
        </w:rPr>
        <w:t xml:space="preserve">Minneapolis, MN 55402 </w:t>
      </w:r>
    </w:p>
    <w:p>
      <w:pPr>
        <w:pStyle w:val="TextBody"/>
        <w:bidi w:val="0"/>
        <w:spacing w:before="0" w:after="0"/>
        <w:jc w:val="left"/>
        <w:rPr>
          <w:rFonts w:ascii="Times New Roman" w:hAnsi="Times New Roman"/>
          <w:sz w:val="20"/>
        </w:rPr>
      </w:pPr>
      <w:r>
        <w:rPr>
          <w:rFonts w:ascii="Times New Roman" w:hAnsi="Times New Roman"/>
          <w:sz w:val="20"/>
        </w:rPr>
        <w:t xml:space="preserve">Attention: Jeff Peterson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With a copy to: </w:t>
      </w:r>
    </w:p>
    <w:p>
      <w:pPr>
        <w:pStyle w:val="TextBody"/>
        <w:bidi w:val="0"/>
        <w:spacing w:before="120" w:after="0"/>
        <w:jc w:val="left"/>
        <w:rPr>
          <w:rFonts w:ascii="Times New Roman" w:hAnsi="Times New Roman"/>
          <w:sz w:val="20"/>
        </w:rPr>
      </w:pPr>
      <w:r>
        <w:rPr>
          <w:rFonts w:ascii="Times New Roman" w:hAnsi="Times New Roman"/>
          <w:sz w:val="20"/>
        </w:rPr>
        <w:t xml:space="preserve">Faegre Drinker Biddle &amp; Reath LLP </w:t>
      </w:r>
    </w:p>
    <w:p>
      <w:pPr>
        <w:pStyle w:val="TextBody"/>
        <w:bidi w:val="0"/>
        <w:spacing w:before="0" w:after="0"/>
        <w:jc w:val="left"/>
        <w:rPr>
          <w:rFonts w:ascii="Times New Roman" w:hAnsi="Times New Roman"/>
          <w:sz w:val="20"/>
        </w:rPr>
      </w:pPr>
      <w:r>
        <w:rPr>
          <w:rFonts w:ascii="Times New Roman" w:hAnsi="Times New Roman"/>
          <w:sz w:val="20"/>
        </w:rPr>
        <w:t xml:space="preserve">200 Wells Fargo Center </w:t>
      </w:r>
    </w:p>
    <w:p>
      <w:pPr>
        <w:pStyle w:val="TextBody"/>
        <w:bidi w:val="0"/>
        <w:spacing w:before="0" w:after="0"/>
        <w:jc w:val="left"/>
        <w:rPr>
          <w:rFonts w:ascii="Times New Roman" w:hAnsi="Times New Roman"/>
          <w:sz w:val="20"/>
        </w:rPr>
      </w:pPr>
      <w:r>
        <w:rPr>
          <w:rFonts w:ascii="Times New Roman" w:hAnsi="Times New Roman"/>
          <w:sz w:val="20"/>
        </w:rPr>
        <w:t xml:space="preserve">90 S. Seventh Street </w:t>
      </w:r>
    </w:p>
    <w:p>
      <w:pPr>
        <w:pStyle w:val="TextBody"/>
        <w:bidi w:val="0"/>
        <w:spacing w:before="0" w:after="0"/>
        <w:jc w:val="left"/>
        <w:rPr>
          <w:rFonts w:ascii="Times New Roman" w:hAnsi="Times New Roman"/>
          <w:sz w:val="20"/>
        </w:rPr>
      </w:pPr>
      <w:r>
        <w:rPr>
          <w:rFonts w:ascii="Times New Roman" w:hAnsi="Times New Roman"/>
          <w:sz w:val="20"/>
        </w:rPr>
        <w:t xml:space="preserve">Minneapolis, Minnesota 55402 </w:t>
      </w:r>
    </w:p>
    <w:p>
      <w:pPr>
        <w:pStyle w:val="TextBody"/>
        <w:bidi w:val="0"/>
        <w:spacing w:before="0" w:after="0"/>
        <w:jc w:val="left"/>
        <w:rPr>
          <w:rFonts w:ascii="Times New Roman" w:hAnsi="Times New Roman"/>
          <w:sz w:val="20"/>
        </w:rPr>
      </w:pPr>
      <w:r>
        <w:rPr>
          <w:rFonts w:ascii="Times New Roman" w:hAnsi="Times New Roman"/>
          <w:sz w:val="20"/>
        </w:rPr>
        <w:t xml:space="preserve">Attention: Jonathan Zimmerman; Charles Lange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If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Ouster, Inc. </w:t>
      </w:r>
    </w:p>
    <w:p>
      <w:pPr>
        <w:pStyle w:val="TextBody"/>
        <w:bidi w:val="0"/>
        <w:spacing w:before="0" w:after="0"/>
        <w:jc w:val="left"/>
        <w:rPr>
          <w:rFonts w:ascii="Times New Roman" w:hAnsi="Times New Roman"/>
          <w:sz w:val="20"/>
        </w:rPr>
      </w:pPr>
      <w:r>
        <w:rPr>
          <w:rFonts w:ascii="Times New Roman" w:hAnsi="Times New Roman"/>
          <w:sz w:val="20"/>
        </w:rPr>
        <w:t xml:space="preserve">350 Treat Avenue </w:t>
      </w:r>
    </w:p>
    <w:p>
      <w:pPr>
        <w:pStyle w:val="TextBody"/>
        <w:bidi w:val="0"/>
        <w:spacing w:before="0" w:after="0"/>
        <w:jc w:val="left"/>
        <w:rPr>
          <w:rFonts w:ascii="Times New Roman" w:hAnsi="Times New Roman"/>
          <w:sz w:val="20"/>
        </w:rPr>
      </w:pPr>
      <w:r>
        <w:rPr>
          <w:rFonts w:ascii="Times New Roman" w:hAnsi="Times New Roman"/>
          <w:sz w:val="20"/>
        </w:rPr>
        <w:t xml:space="preserve">San Francisco, California 94110 </w:t>
      </w:r>
    </w:p>
    <w:p>
      <w:pPr>
        <w:pStyle w:val="TextBody"/>
        <w:bidi w:val="0"/>
        <w:spacing w:before="0" w:after="0"/>
        <w:jc w:val="left"/>
        <w:rPr>
          <w:rFonts w:ascii="Times New Roman" w:hAnsi="Times New Roman"/>
          <w:sz w:val="20"/>
        </w:rPr>
      </w:pPr>
      <w:r>
        <w:rPr>
          <w:rFonts w:ascii="Times New Roman" w:hAnsi="Times New Roman"/>
          <w:sz w:val="20"/>
        </w:rPr>
        <w:t xml:space="preserve">Attention: Megan Chung, General Counsel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i/>
          <w:sz w:val="20"/>
        </w:rPr>
        <w:t>With a copy to:</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Latham &amp; Watkins LLP </w:t>
      </w:r>
    </w:p>
    <w:p>
      <w:pPr>
        <w:pStyle w:val="TextBody"/>
        <w:bidi w:val="0"/>
        <w:spacing w:before="0" w:after="0"/>
        <w:jc w:val="left"/>
        <w:rPr>
          <w:rFonts w:ascii="Times New Roman" w:hAnsi="Times New Roman"/>
          <w:sz w:val="20"/>
        </w:rPr>
      </w:pPr>
      <w:r>
        <w:rPr>
          <w:rFonts w:ascii="Times New Roman" w:hAnsi="Times New Roman"/>
          <w:sz w:val="20"/>
        </w:rPr>
        <w:t xml:space="preserve">650 Town Center Drive, 20th Floor </w:t>
      </w:r>
    </w:p>
    <w:p>
      <w:pPr>
        <w:pStyle w:val="TextBody"/>
        <w:bidi w:val="0"/>
        <w:spacing w:before="0" w:after="0"/>
        <w:jc w:val="left"/>
        <w:rPr>
          <w:rFonts w:ascii="Times New Roman" w:hAnsi="Times New Roman"/>
          <w:sz w:val="20"/>
        </w:rPr>
      </w:pPr>
      <w:r>
        <w:rPr>
          <w:rFonts w:ascii="Times New Roman" w:hAnsi="Times New Roman"/>
          <w:sz w:val="20"/>
        </w:rPr>
        <w:t xml:space="preserve">Costa Mesa, CA 92626 </w:t>
      </w:r>
    </w:p>
    <w:p>
      <w:pPr>
        <w:pStyle w:val="TextBody"/>
        <w:bidi w:val="0"/>
        <w:spacing w:before="0" w:after="0"/>
        <w:jc w:val="left"/>
        <w:rPr>
          <w:rFonts w:ascii="Times New Roman" w:hAnsi="Times New Roman"/>
          <w:sz w:val="20"/>
        </w:rPr>
      </w:pPr>
      <w:r>
        <w:rPr>
          <w:rFonts w:ascii="Times New Roman" w:hAnsi="Times New Roman"/>
          <w:sz w:val="20"/>
        </w:rPr>
        <w:t xml:space="preserve">Attn: Drew Capurro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Governing Law.</w:t>
      </w:r>
      <w:r>
        <w:rPr>
          <w:rFonts w:ascii="Times New Roman" w:hAnsi="Times New Roman"/>
          <w:sz w:val="20"/>
        </w:rPr>
        <w:t xml:space="preserve"> This Agreement and any claim, controversy or dispute arising under or related to this Agreement shall be governed by and construed in accordance with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Submission to Jurisdiction</w:t>
      </w:r>
      <w:r>
        <w:rPr>
          <w:rFonts w:ascii="Times New Roman" w:hAnsi="Times New Roman"/>
          <w:sz w:val="20"/>
        </w:rPr>
        <w:t xml:space="preserve">. Each party hereto hereby submits to the exclusive jurisdiction of the U.S. federal and New York state courts in the Borough of Manhattan in The City of New York in any suit or proceeding arising out of or relating to this Agreement or the transactions contemplated hereby. Each party hereto waives any objection which it may now or hereafter have to the laying of venue of any such suit or proceeding in such courts. Each party hereto agrees that final judgment in any such suit, action or proceeding brought in such court shall be conclusive and binding upon such party and may be enforced in any court to the jurisdiction of which such party is subject by a suit upon such judgment.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Waiver of Jury Trial.</w:t>
      </w:r>
      <w:r>
        <w:rPr>
          <w:rFonts w:ascii="Times New Roman" w:hAnsi="Times New Roman"/>
          <w:sz w:val="20"/>
        </w:rPr>
        <w:t xml:space="preserve"> Each of the parties hereto hereby waives any right to trial by jury in any suit or proceeding arising out of or relating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Recognition of the U.S. Special Resolution Regimes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In the event that any Underwriter is a Covered Entity and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In the event that any Underwriter is a Covered Entity and becomes subject, or a BHC Act Affiliate of such Underwriter becomes subject, to a proceeding under a U.S. Special Resolution Regime, Default Rights under this Agreement that may be exercised against such Underwriter is permitted to be exercised to no greater extent than such Default Rights could be exercised under the U.S. Special Resolution Regime if this Agreement were governed by the laws of the United States or a state of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As used in this Section 15(e): </w:t>
      </w:r>
    </w:p>
    <w:p>
      <w:pPr>
        <w:pStyle w:val="TextBody"/>
        <w:bidi w:val="0"/>
        <w:spacing w:before="120" w:after="0"/>
        <w:jc w:val="left"/>
        <w:rPr/>
      </w:pPr>
      <w:r>
        <w:rPr/>
        <w:t>“</w:t>
      </w:r>
      <w:r>
        <w:rPr>
          <w:rFonts w:ascii="Times New Roman" w:hAnsi="Times New Roman"/>
          <w:b/>
          <w:sz w:val="20"/>
        </w:rPr>
        <w:t>BHC Act Affiliate</w:t>
      </w:r>
      <w:r>
        <w:rPr>
          <w:rFonts w:ascii="Times New Roman" w:hAnsi="Times New Roman"/>
          <w:sz w:val="20"/>
        </w:rPr>
        <w:t xml:space="preserve">” has the meaning assigned to the term “affiliate” in, and shall be interpreted in accordance with, 12 U.S.C. § 1841(k). </w:t>
      </w:r>
    </w:p>
    <w:p>
      <w:pPr>
        <w:pStyle w:val="TextBody"/>
        <w:bidi w:val="0"/>
        <w:spacing w:before="120" w:after="0"/>
        <w:jc w:val="left"/>
        <w:rPr/>
      </w:pPr>
      <w:r>
        <w:rPr/>
        <w:t>“</w:t>
      </w:r>
      <w:r>
        <w:rPr>
          <w:rFonts w:ascii="Times New Roman" w:hAnsi="Times New Roman"/>
          <w:b/>
          <w:sz w:val="20"/>
        </w:rPr>
        <w:t>Covered Entity</w:t>
      </w:r>
      <w:r>
        <w:rPr>
          <w:rFonts w:ascii="Times New Roman" w:hAnsi="Times New Roman"/>
          <w:sz w:val="20"/>
        </w:rPr>
        <w:t xml:space="preserve">” means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a “covered entity” as that term is defined in, and interpreted in accordance with, 12 C.F.R. § 252.82(b); </w:t>
      </w:r>
    </w:p>
    <w:p>
      <w:pPr>
        <w:pStyle w:val="TextBody"/>
        <w:bidi w:val="0"/>
        <w:spacing w:before="120" w:after="0"/>
        <w:jc w:val="left"/>
        <w:rPr>
          <w:rFonts w:ascii="Times New Roman" w:hAnsi="Times New Roman"/>
          <w:sz w:val="20"/>
        </w:rPr>
      </w:pPr>
      <w:r>
        <w:rPr>
          <w:rFonts w:ascii="Times New Roman" w:hAnsi="Times New Roman"/>
          <w:sz w:val="20"/>
        </w:rPr>
        <w:t xml:space="preserve">(ii) a “covered bank” as that term is defined in, and interpreted in accordance with, 12 C.F.R. § 47.3(b); or </w:t>
      </w:r>
    </w:p>
    <w:p>
      <w:pPr>
        <w:pStyle w:val="TextBody"/>
        <w:bidi w:val="0"/>
        <w:spacing w:before="120" w:after="0"/>
        <w:jc w:val="left"/>
        <w:rPr>
          <w:rFonts w:ascii="Times New Roman" w:hAnsi="Times New Roman"/>
          <w:sz w:val="20"/>
        </w:rPr>
      </w:pPr>
      <w:r>
        <w:rPr>
          <w:rFonts w:ascii="Times New Roman" w:hAnsi="Times New Roman"/>
          <w:sz w:val="20"/>
        </w:rPr>
        <w:t xml:space="preserve">(iii) a “covered FSI” as that term is defined in, and interpreted in accordance with, 12 C.F.R. § 382.2(b). </w:t>
      </w:r>
    </w:p>
    <w:p>
      <w:pPr>
        <w:pStyle w:val="TextBody"/>
        <w:bidi w:val="0"/>
        <w:spacing w:before="120" w:after="0"/>
        <w:jc w:val="left"/>
        <w:rPr/>
      </w:pPr>
      <w:r>
        <w:rPr/>
        <w:t>“</w:t>
      </w:r>
      <w:r>
        <w:rPr>
          <w:rFonts w:ascii="Times New Roman" w:hAnsi="Times New Roman"/>
          <w:b/>
          <w:sz w:val="20"/>
        </w:rPr>
        <w:t>Default Right</w:t>
      </w:r>
      <w:r>
        <w:rPr>
          <w:rFonts w:ascii="Times New Roman" w:hAnsi="Times New Roman"/>
          <w:sz w:val="20"/>
        </w:rPr>
        <w:t xml:space="preserve">” has the meaning assigned to that term in, and shall be interpreted in accordance with, 12 C.F.R. §§ 252.81, 47.2 or 382.1, as applicable. </w:t>
      </w:r>
    </w:p>
    <w:p>
      <w:pPr>
        <w:pStyle w:val="TextBody"/>
        <w:bidi w:val="0"/>
        <w:spacing w:before="120" w:after="0"/>
        <w:jc w:val="left"/>
        <w:rPr/>
      </w:pPr>
      <w:r>
        <w:rPr/>
        <w:t>“</w:t>
      </w:r>
      <w:r>
        <w:rPr>
          <w:rFonts w:ascii="Times New Roman" w:hAnsi="Times New Roman"/>
          <w:b/>
          <w:sz w:val="20"/>
        </w:rPr>
        <w:t>U.S. Special Resolution Regime</w:t>
      </w:r>
      <w:r>
        <w:rPr>
          <w:rFonts w:ascii="Times New Roman" w:hAnsi="Times New Roman"/>
          <w:sz w:val="20"/>
        </w:rPr>
        <w:t xml:space="preserve">”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Counterparts</w:t>
      </w:r>
      <w:r>
        <w:rPr>
          <w:rFonts w:ascii="Times New Roman" w:hAnsi="Times New Roman"/>
          <w:sz w:val="20"/>
        </w:rPr>
        <w:t xml:space="preserve">. This Agreement may be signed in counterparts (which may include counterparts delivered by any standard form of telecommunication), each of which shall be an original and all of which together shall constitute one and the same instrument. This Agreement may be delivered via facsimile, electronic mail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Amendments or Waivers</w:t>
      </w:r>
      <w:r>
        <w:rPr>
          <w:rFonts w:ascii="Times New Roman" w:hAnsi="Times New Roman"/>
          <w:sz w:val="20"/>
        </w:rPr>
        <w:t xml:space="preserve">. No amendment or waiver of any provision of this Agreement, nor any consent or approval to any departure therefrom, shall in any event be effective unless the same shall be in writing and signed by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Headings</w:t>
      </w:r>
      <w:r>
        <w:rPr>
          <w:rFonts w:ascii="Times New Roman" w:hAnsi="Times New Roman"/>
          <w:sz w:val="20"/>
        </w:rPr>
        <w:t xml:space="preserve">. The headings herein are included for convenience of reference only and are not intended to be part of, or to affect the meaning or interpretation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Partial Unenforceability</w:t>
      </w:r>
      <w:r>
        <w:rPr>
          <w:rFonts w:ascii="Times New Roman" w:hAnsi="Times New Roman"/>
          <w:sz w:val="20"/>
        </w:rPr>
        <w:t xml:space="preserve">. The invalidity or unenforceability of any Section, paragraph or provision of this Agreement shall not affect the validity or enforceability of any other Section, paragraph, or provision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foregoing is in accordance with your understanding, please indicate your acceptance of this Agreement by signing in the space provided below.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50"/>
        <w:gridCol w:w="60"/>
        <w:gridCol w:w="620"/>
        <w:gridCol w:w="60"/>
        <w:gridCol w:w="2992"/>
      </w:tblGrid>
      <w:tr>
        <w:trPr/>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92"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vAlign w:val="bottom"/>
          </w:tcPr>
          <w:p>
            <w:pPr>
              <w:pStyle w:val="TableContents"/>
              <w:bidi w:val="0"/>
              <w:spacing w:before="0" w:after="0"/>
              <w:jc w:val="left"/>
              <w:rPr>
                <w:rFonts w:ascii="Times New Roman" w:hAnsi="Times New Roman"/>
                <w:sz w:val="20"/>
              </w:rPr>
            </w:pPr>
            <w:r>
              <w:rPr>
                <w:rFonts w:ascii="Times New Roman" w:hAnsi="Times New Roman"/>
                <w:sz w:val="20"/>
              </w:rPr>
              <w:t>Very truly yours,</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vAlign w:val="bottom"/>
          </w:tcPr>
          <w:p>
            <w:pPr>
              <w:pStyle w:val="TableContents"/>
              <w:bidi w:val="0"/>
              <w:spacing w:before="0" w:after="0"/>
              <w:jc w:val="left"/>
              <w:rPr>
                <w:rFonts w:ascii="Times New Roman" w:hAnsi="Times New Roman"/>
                <w:sz w:val="20"/>
              </w:rPr>
            </w:pPr>
            <w:r>
              <w:rPr>
                <w:rFonts w:ascii="Times New Roman" w:hAnsi="Times New Roman"/>
                <w:sz w:val="20"/>
              </w:rPr>
              <w:t>Ouster, Inc.</w:t>
            </w:r>
          </w:p>
        </w:tc>
      </w:tr>
      <w:tr>
        <w:trPr>
          <w:trHeight w:val="240" w:hRule="atLeast"/>
        </w:trPr>
        <w:tc>
          <w:tcPr>
            <w:tcW w:w="350" w:type="dxa"/>
            <w:tcBorders/>
            <w:vAlign w:val="center"/>
          </w:tcPr>
          <w:p>
            <w:pPr>
              <w:pStyle w:val="TableContents"/>
              <w:bidi w:val="0"/>
              <w:spacing w:before="0" w:after="283"/>
              <w:jc w:val="left"/>
              <w:rPr>
                <w:sz w:val="4"/>
                <w:szCs w:val="4"/>
              </w:rPr>
            </w:pPr>
            <w:r>
              <w:rPr>
                <w:sz w:val="4"/>
                <w:szCs w:val="4"/>
              </w:rPr>
            </w:r>
          </w:p>
        </w:tc>
        <w:tc>
          <w:tcPr>
            <w:tcW w:w="3732" w:type="dxa"/>
            <w:gridSpan w:val="4"/>
            <w:tcBorders/>
            <w:vAlign w:val="center"/>
          </w:tcPr>
          <w:p>
            <w:pPr>
              <w:pStyle w:val="TableContents"/>
              <w:bidi w:val="0"/>
              <w:spacing w:before="0" w:after="283"/>
              <w:jc w:val="left"/>
              <w:rPr>
                <w:sz w:val="4"/>
                <w:szCs w:val="4"/>
              </w:rPr>
            </w:pPr>
            <w:r>
              <w:rPr>
                <w:sz w:val="4"/>
                <w:szCs w:val="4"/>
              </w:rPr>
            </w:r>
          </w:p>
        </w:tc>
      </w:tr>
      <w:tr>
        <w:trPr/>
        <w:tc>
          <w:tcPr>
            <w:tcW w:w="3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72" w:type="dxa"/>
            <w:gridSpan w:val="3"/>
            <w:tcBorders>
              <w:bottom w:val="single" w:sz="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 xml:space="preserve">/s/ Kenneth P. Gianella </w:t>
            </w:r>
          </w:p>
        </w:tc>
      </w:tr>
      <w:tr>
        <w:trPr/>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299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Kenneth P. Gianella</w:t>
            </w:r>
          </w:p>
        </w:tc>
      </w:tr>
      <w:tr>
        <w:trPr/>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299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tc>
      </w:tr>
    </w:tbl>
    <w:p>
      <w:pPr>
        <w:pStyle w:val="HorizontalLine"/>
        <w:pBdr>
          <w:bottom w:val="double" w:sz="6" w:space="0" w:color="808080"/>
        </w:pBdr>
        <w:bidi w:val="0"/>
        <w:jc w:val="left"/>
        <w:rPr/>
      </w:pPr>
      <w:r>
        <w:br w:type="page"/>
      </w:r>
      <w:r>
        <w:rPr/>
      </w:r>
    </w:p>
    <w:tbl>
      <w:tblPr>
        <w:tblW w:w="2000" w:type="pct"/>
        <w:jc w:val="left"/>
        <w:tblInd w:w="0" w:type="dxa"/>
        <w:tblLayout w:type="fixed"/>
        <w:tblCellMar>
          <w:top w:w="0" w:type="dxa"/>
          <w:left w:w="0" w:type="dxa"/>
          <w:bottom w:w="0" w:type="dxa"/>
          <w:right w:w="0" w:type="dxa"/>
        </w:tblCellMar>
      </w:tblPr>
      <w:tblGrid>
        <w:gridCol w:w="781"/>
        <w:gridCol w:w="123"/>
        <w:gridCol w:w="3178"/>
      </w:tblGrid>
      <w:tr>
        <w:trPr/>
        <w:tc>
          <w:tcPr>
            <w:tcW w:w="781"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17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Accepted: As of the date first written above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NORTHLAND SECURITIES, INC.</w:t>
            </w:r>
          </w:p>
        </w:tc>
      </w:tr>
      <w:tr>
        <w:trPr>
          <w:trHeight w:val="240" w:hRule="atLeast"/>
        </w:trPr>
        <w:tc>
          <w:tcPr>
            <w:tcW w:w="781" w:type="dxa"/>
            <w:tcBorders/>
            <w:vAlign w:val="center"/>
          </w:tcPr>
          <w:p>
            <w:pPr>
              <w:pStyle w:val="TableContents"/>
              <w:bidi w:val="0"/>
              <w:spacing w:before="0" w:after="283"/>
              <w:jc w:val="left"/>
              <w:rPr>
                <w:sz w:val="4"/>
                <w:szCs w:val="4"/>
              </w:rPr>
            </w:pPr>
            <w:r>
              <w:rPr>
                <w:sz w:val="4"/>
                <w:szCs w:val="4"/>
              </w:rPr>
            </w:r>
          </w:p>
        </w:tc>
        <w:tc>
          <w:tcPr>
            <w:tcW w:w="3301" w:type="dxa"/>
            <w:gridSpan w:val="2"/>
            <w:tcBorders/>
            <w:vAlign w:val="center"/>
          </w:tcPr>
          <w:p>
            <w:pPr>
              <w:pStyle w:val="TableContents"/>
              <w:bidi w:val="0"/>
              <w:spacing w:before="0" w:after="283"/>
              <w:jc w:val="left"/>
              <w:rPr>
                <w:sz w:val="4"/>
                <w:szCs w:val="4"/>
              </w:rPr>
            </w:pPr>
            <w:r>
              <w:rPr>
                <w:sz w:val="4"/>
                <w:szCs w:val="4"/>
              </w:rPr>
            </w:r>
          </w:p>
        </w:tc>
      </w:tr>
      <w:tr>
        <w:trPr/>
        <w:tc>
          <w:tcPr>
            <w:tcW w:w="781" w:type="dxa"/>
            <w:tcBorders/>
          </w:tcPr>
          <w:p>
            <w:pPr>
              <w:pStyle w:val="TableContents"/>
              <w:bidi w:val="0"/>
              <w:spacing w:before="0" w:after="283"/>
              <w:jc w:val="left"/>
              <w:rPr/>
            </w:pPr>
            <w:r>
              <w:rPr/>
              <w:t>By:</w:t>
            </w:r>
          </w:p>
        </w:tc>
        <w:tc>
          <w:tcPr>
            <w:tcW w:w="123" w:type="dxa"/>
            <w:tcBorders>
              <w:bottom w:val="single" w:sz="2" w:space="0" w:color="000000"/>
            </w:tcBorders>
            <w:tcMar>
              <w:bottom w:w="28" w:type="dxa"/>
            </w:tcMar>
            <w:vAlign w:val="bottom"/>
          </w:tcPr>
          <w:p>
            <w:pPr>
              <w:pStyle w:val="TableContents"/>
              <w:bidi w:val="0"/>
              <w:spacing w:before="0" w:after="283"/>
              <w:jc w:val="left"/>
              <w:rPr/>
            </w:pPr>
            <w:r>
              <w:rPr/>
              <w:t> </w:t>
            </w:r>
          </w:p>
        </w:tc>
        <w:tc>
          <w:tcPr>
            <w:tcW w:w="3178" w:type="dxa"/>
            <w:tcBorders>
              <w:bottom w:val="single" w:sz="2" w:space="0" w:color="000000"/>
            </w:tcBorders>
            <w:tcMar>
              <w:bottom w:w="28" w:type="dxa"/>
            </w:tcMar>
          </w:tcPr>
          <w:p>
            <w:pPr>
              <w:pStyle w:val="TableContents"/>
              <w:bidi w:val="0"/>
              <w:spacing w:before="0" w:after="283"/>
              <w:jc w:val="left"/>
              <w:rPr/>
            </w:pPr>
            <w:r>
              <w:rPr/>
              <w:t>/s/ David Levine</w:t>
            </w:r>
          </w:p>
        </w:tc>
      </w:tr>
      <w:tr>
        <w:trPr/>
        <w:tc>
          <w:tcPr>
            <w:tcW w:w="4082" w:type="dxa"/>
            <w:gridSpan w:val="3"/>
            <w:tcBorders/>
            <w:vAlign w:val="bottom"/>
          </w:tcPr>
          <w:p>
            <w:pPr>
              <w:pStyle w:val="TableContents"/>
              <w:bidi w:val="0"/>
              <w:spacing w:before="0" w:after="283"/>
              <w:jc w:val="left"/>
              <w:rPr/>
            </w:pPr>
            <w:r>
              <w:rPr/>
              <w:t>Name: David Levine</w:t>
            </w:r>
          </w:p>
        </w:tc>
      </w:tr>
      <w:tr>
        <w:trPr/>
        <w:tc>
          <w:tcPr>
            <w:tcW w:w="4082" w:type="dxa"/>
            <w:gridSpan w:val="3"/>
            <w:tcBorders/>
            <w:vAlign w:val="bottom"/>
          </w:tcPr>
          <w:p>
            <w:pPr>
              <w:pStyle w:val="TableContents"/>
              <w:bidi w:val="0"/>
              <w:spacing w:before="0" w:after="283"/>
              <w:jc w:val="left"/>
              <w:rPr/>
            </w:pPr>
            <w:r>
              <w:rPr/>
              <w:t>Title: Head of Investment Banking</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Schedule 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892"/>
        <w:gridCol w:w="498"/>
        <w:gridCol w:w="100"/>
        <w:gridCol w:w="1652"/>
        <w:gridCol w:w="63"/>
      </w:tblGrid>
      <w:tr>
        <w:trPr/>
        <w:tc>
          <w:tcPr>
            <w:tcW w:w="7892" w:type="dxa"/>
            <w:tcBorders/>
            <w:vAlign w:val="center"/>
          </w:tcPr>
          <w:p>
            <w:pPr>
              <w:pStyle w:val="TableContents"/>
              <w:bidi w:val="0"/>
              <w:spacing w:before="0" w:after="283"/>
              <w:jc w:val="left"/>
              <w:rPr>
                <w:sz w:val="4"/>
                <w:szCs w:val="4"/>
              </w:rPr>
            </w:pPr>
            <w:r>
              <w:rPr>
                <w:sz w:val="4"/>
                <w:szCs w:val="4"/>
              </w:rPr>
            </w:r>
          </w:p>
        </w:tc>
        <w:tc>
          <w:tcPr>
            <w:tcW w:w="498" w:type="dxa"/>
            <w:tcBorders/>
            <w:vAlign w:val="bottom"/>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7892"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Underwriter</w:t>
            </w:r>
          </w:p>
        </w:tc>
        <w:tc>
          <w:tcPr>
            <w:tcW w:w="498" w:type="dxa"/>
            <w:tcBorders/>
            <w:vAlign w:val="bottom"/>
          </w:tcPr>
          <w:p>
            <w:pPr>
              <w:pStyle w:val="TableContents"/>
              <w:bidi w:val="0"/>
              <w:spacing w:before="0" w:after="283"/>
              <w:jc w:val="left"/>
              <w:rPr/>
            </w:pPr>
            <w:r>
              <w:rPr/>
              <w:t>  </w:t>
            </w:r>
          </w:p>
        </w:tc>
        <w:tc>
          <w:tcPr>
            <w:tcW w:w="1752" w:type="dxa"/>
            <w:gridSpan w:val="2"/>
            <w:tcBorders>
              <w:bottom w:val="single" w:sz="8" w:space="0" w:color="000000"/>
            </w:tcBorders>
            <w:tcMar>
              <w:bottom w:w="28" w:type="dxa"/>
            </w:tcMar>
            <w:vAlign w:val="bottom"/>
          </w:tcPr>
          <w:p>
            <w:pPr>
              <w:pStyle w:val="TableContents"/>
              <w:bidi w:val="0"/>
              <w:spacing w:before="0" w:after="283"/>
              <w:jc w:val="center"/>
              <w:rPr/>
            </w:pPr>
            <w:r>
              <w:rPr/>
              <w:t>Number of Shares</w:t>
            </w:r>
          </w:p>
        </w:tc>
        <w:tc>
          <w:tcPr>
            <w:tcW w:w="63" w:type="dxa"/>
            <w:tcBorders/>
            <w:vAlign w:val="bottom"/>
          </w:tcPr>
          <w:p>
            <w:pPr>
              <w:pStyle w:val="TableContents"/>
              <w:bidi w:val="0"/>
              <w:spacing w:before="0" w:after="283"/>
              <w:jc w:val="left"/>
              <w:rPr/>
            </w:pPr>
            <w:r>
              <w:rPr/>
              <w:t> </w:t>
            </w:r>
          </w:p>
        </w:tc>
      </w:tr>
      <w:tr>
        <w:trPr/>
        <w:tc>
          <w:tcPr>
            <w:tcW w:w="78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Northland Securities, Inc.</w:t>
            </w:r>
          </w:p>
        </w:tc>
        <w:tc>
          <w:tcPr>
            <w:tcW w:w="498"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652" w:type="dxa"/>
            <w:tcBorders/>
            <w:shd w:fill="CCEEFF" w:val="clear"/>
            <w:vAlign w:val="bottom"/>
          </w:tcPr>
          <w:p>
            <w:pPr>
              <w:pStyle w:val="TableContents"/>
              <w:bidi w:val="0"/>
              <w:spacing w:before="0" w:after="283"/>
              <w:jc w:val="right"/>
              <w:rPr/>
            </w:pPr>
            <w:r>
              <w:rPr/>
              <w:t>3,621,876</w:t>
            </w:r>
          </w:p>
        </w:tc>
        <w:tc>
          <w:tcPr>
            <w:tcW w:w="63" w:type="dxa"/>
            <w:tcBorders/>
            <w:shd w:fill="CCEEFF" w:val="clear"/>
            <w:vAlign w:val="bottom"/>
          </w:tcPr>
          <w:p>
            <w:pPr>
              <w:pStyle w:val="TableContents"/>
              <w:bidi w:val="0"/>
              <w:spacing w:before="0" w:after="283"/>
              <w:jc w:val="left"/>
              <w:rPr/>
            </w:pPr>
            <w:r>
              <w:rPr/>
              <w:t> </w:t>
            </w:r>
          </w:p>
        </w:tc>
      </w:tr>
      <w:tr>
        <w:trPr/>
        <w:tc>
          <w:tcPr>
            <w:tcW w:w="7892"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498"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652" w:type="dxa"/>
            <w:tcBorders/>
            <w:vAlign w:val="bottom"/>
          </w:tcPr>
          <w:p>
            <w:pPr>
              <w:pStyle w:val="TableContents"/>
              <w:bidi w:val="0"/>
              <w:spacing w:before="0" w:after="283"/>
              <w:jc w:val="right"/>
              <w:rPr/>
            </w:pPr>
            <w:r>
              <w:rPr/>
              <w:t>3,621,876</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Annex 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Pricing Information Provided Orally by Underwriter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Underwritten Shares: 3,621,876 shares </w:t>
      </w:r>
    </w:p>
    <w:p>
      <w:pPr>
        <w:pStyle w:val="TextBody"/>
        <w:bidi w:val="0"/>
        <w:spacing w:before="240" w:after="0"/>
        <w:jc w:val="left"/>
        <w:rPr>
          <w:rFonts w:ascii="Times New Roman" w:hAnsi="Times New Roman"/>
          <w:sz w:val="20"/>
        </w:rPr>
      </w:pPr>
      <w:r>
        <w:rPr>
          <w:rFonts w:ascii="Times New Roman" w:hAnsi="Times New Roman"/>
          <w:sz w:val="20"/>
        </w:rPr>
        <w:t xml:space="preserve">Option Shares: 543,281 shares </w:t>
      </w:r>
    </w:p>
    <w:p>
      <w:pPr>
        <w:pStyle w:val="TextBody"/>
        <w:bidi w:val="0"/>
        <w:spacing w:before="240" w:after="0"/>
        <w:jc w:val="left"/>
        <w:rPr>
          <w:rFonts w:ascii="Times New Roman" w:hAnsi="Times New Roman"/>
          <w:sz w:val="20"/>
        </w:rPr>
      </w:pPr>
      <w:r>
        <w:rPr>
          <w:rFonts w:ascii="Times New Roman" w:hAnsi="Times New Roman"/>
          <w:sz w:val="20"/>
        </w:rPr>
        <w:t xml:space="preserve">Public Offering Price Per Share: $55.22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Issuer Free Writing Prospectus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Annex B </w:t>
      </w:r>
    </w:p>
    <w:p>
      <w:pPr>
        <w:pStyle w:val="TextBody"/>
        <w:bidi w:val="0"/>
        <w:spacing w:before="240" w:after="0"/>
        <w:jc w:val="center"/>
        <w:rPr>
          <w:rFonts w:ascii="Times New Roman" w:hAnsi="Times New Roman"/>
          <w:sz w:val="20"/>
        </w:rPr>
      </w:pPr>
      <w:r>
        <w:rPr>
          <w:rFonts w:ascii="Times New Roman" w:hAnsi="Times New Roman"/>
          <w:sz w:val="20"/>
        </w:rPr>
        <w:t xml:space="preserve">Written Testing-the-Waters Communications </w:t>
      </w:r>
    </w:p>
    <w:p>
      <w:pPr>
        <w:pStyle w:val="TextBody"/>
        <w:bidi w:val="0"/>
        <w:spacing w:before="240" w:after="0"/>
        <w:jc w:val="left"/>
        <w:rPr>
          <w:rFonts w:ascii="Times New Roman" w:hAnsi="Times New Roman"/>
          <w:sz w:val="20"/>
        </w:rPr>
      </w:pPr>
      <w:r>
        <w:rPr>
          <w:rFonts w:ascii="Times New Roman" w:hAnsi="Times New Roman"/>
          <w:sz w:val="20"/>
        </w:rPr>
        <w:t xml:space="preserve">None.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Annex C </w:t>
      </w:r>
    </w:p>
    <w:p>
      <w:pPr>
        <w:pStyle w:val="TextBody"/>
        <w:bidi w:val="0"/>
        <w:spacing w:before="240" w:after="0"/>
        <w:jc w:val="center"/>
        <w:rPr>
          <w:rFonts w:ascii="Times New Roman" w:hAnsi="Times New Roman"/>
          <w:sz w:val="20"/>
        </w:rPr>
      </w:pPr>
      <w:r>
        <w:rPr>
          <w:rFonts w:ascii="Times New Roman" w:hAnsi="Times New Roman"/>
          <w:sz w:val="20"/>
        </w:rPr>
        <w:t xml:space="preserve">Ouster, Inc.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Pricing Term Sheet </w:t>
      </w:r>
    </w:p>
    <w:p>
      <w:pPr>
        <w:pStyle w:val="TextBody"/>
        <w:bidi w:val="0"/>
        <w:spacing w:before="240" w:after="0"/>
        <w:jc w:val="left"/>
        <w:rPr>
          <w:rFonts w:ascii="Times New Roman" w:hAnsi="Times New Roman"/>
          <w:sz w:val="20"/>
        </w:rPr>
      </w:pPr>
      <w:r>
        <w:rPr>
          <w:rFonts w:ascii="Times New Roman" w:hAnsi="Times New Roman"/>
          <w:sz w:val="20"/>
        </w:rPr>
        <w:t xml:space="preserve">None.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Exhibit A </w:t>
      </w:r>
    </w:p>
    <w:p>
      <w:pPr>
        <w:pStyle w:val="TextBody"/>
        <w:bidi w:val="0"/>
        <w:spacing w:before="240" w:after="0"/>
        <w:jc w:val="center"/>
        <w:rPr>
          <w:rFonts w:ascii="Times New Roman" w:hAnsi="Times New Roman"/>
          <w:sz w:val="20"/>
        </w:rPr>
      </w:pPr>
      <w:r>
        <w:rPr>
          <w:rFonts w:ascii="Times New Roman" w:hAnsi="Times New Roman"/>
          <w:sz w:val="20"/>
        </w:rPr>
        <w:t xml:space="preserve">FORM OF LOCK-UP AGREEMENT </w:t>
      </w:r>
    </w:p>
    <w:p>
      <w:pPr>
        <w:pStyle w:val="TextBody"/>
        <w:bidi w:val="0"/>
        <w:spacing w:before="240" w:after="0"/>
        <w:jc w:val="right"/>
        <w:rPr>
          <w:rFonts w:ascii="Times New Roman" w:hAnsi="Times New Roman"/>
          <w:sz w:val="20"/>
        </w:rPr>
      </w:pPr>
      <w:r>
        <w:rPr>
          <w:rFonts w:ascii="Times New Roman" w:hAnsi="Times New Roman"/>
          <w:sz w:val="20"/>
        </w:rPr>
        <w:t xml:space="preserve">July 1, 2026 </w:t>
      </w:r>
    </w:p>
    <w:p>
      <w:pPr>
        <w:pStyle w:val="TextBody"/>
        <w:bidi w:val="0"/>
        <w:spacing w:before="240" w:after="0"/>
        <w:jc w:val="left"/>
        <w:rPr>
          <w:rFonts w:ascii="Times New Roman" w:hAnsi="Times New Roman"/>
          <w:sz w:val="20"/>
        </w:rPr>
      </w:pPr>
      <w:r>
        <w:rPr>
          <w:rFonts w:ascii="Times New Roman" w:hAnsi="Times New Roman"/>
          <w:sz w:val="20"/>
        </w:rPr>
        <w:t xml:space="preserve">NORTHLAND SECURITIES, INC. </w:t>
      </w:r>
    </w:p>
    <w:p>
      <w:pPr>
        <w:pStyle w:val="TextBody"/>
        <w:bidi w:val="0"/>
        <w:spacing w:before="0" w:after="0"/>
        <w:jc w:val="left"/>
        <w:rPr>
          <w:rFonts w:ascii="Times New Roman" w:hAnsi="Times New Roman"/>
          <w:sz w:val="20"/>
        </w:rPr>
      </w:pPr>
      <w:r>
        <w:rPr>
          <w:rFonts w:ascii="Times New Roman" w:hAnsi="Times New Roman"/>
          <w:sz w:val="20"/>
        </w:rPr>
        <w:t xml:space="preserve">As Representative of the several Underwriters </w:t>
      </w:r>
    </w:p>
    <w:p>
      <w:pPr>
        <w:pStyle w:val="TextBody"/>
        <w:bidi w:val="0"/>
        <w:spacing w:before="0" w:after="0"/>
        <w:jc w:val="left"/>
        <w:rPr>
          <w:rFonts w:ascii="Times New Roman" w:hAnsi="Times New Roman"/>
          <w:sz w:val="20"/>
        </w:rPr>
      </w:pPr>
      <w:r>
        <w:rPr>
          <w:rFonts w:ascii="Times New Roman" w:hAnsi="Times New Roman"/>
          <w:sz w:val="20"/>
        </w:rPr>
        <w:t xml:space="preserve">listed in Schedule I to the Underwriting Agreement </w:t>
      </w:r>
    </w:p>
    <w:p>
      <w:pPr>
        <w:pStyle w:val="TextBody"/>
        <w:bidi w:val="0"/>
        <w:spacing w:before="0" w:after="0"/>
        <w:jc w:val="left"/>
        <w:rPr>
          <w:rFonts w:ascii="Times New Roman" w:hAnsi="Times New Roman"/>
          <w:sz w:val="20"/>
        </w:rPr>
      </w:pPr>
      <w:r>
        <w:rPr>
          <w:rFonts w:ascii="Times New Roman" w:hAnsi="Times New Roman"/>
          <w:sz w:val="20"/>
        </w:rPr>
        <w:t xml:space="preserve">referred to below </w:t>
      </w:r>
    </w:p>
    <w:p>
      <w:pPr>
        <w:pStyle w:val="TextBody"/>
        <w:bidi w:val="0"/>
        <w:spacing w:before="240" w:after="0"/>
        <w:jc w:val="left"/>
        <w:rPr>
          <w:rFonts w:ascii="Times New Roman" w:hAnsi="Times New Roman"/>
          <w:sz w:val="20"/>
        </w:rPr>
      </w:pPr>
      <w:r>
        <w:rPr>
          <w:rFonts w:ascii="Times New Roman" w:hAnsi="Times New Roman"/>
          <w:sz w:val="20"/>
        </w:rPr>
        <w:t xml:space="preserve">c/o Northland Securities, Inc. </w:t>
      </w:r>
    </w:p>
    <w:p>
      <w:pPr>
        <w:pStyle w:val="TextBody"/>
        <w:bidi w:val="0"/>
        <w:spacing w:before="0" w:after="0"/>
        <w:jc w:val="left"/>
        <w:rPr>
          <w:rFonts w:ascii="Times New Roman" w:hAnsi="Times New Roman"/>
          <w:sz w:val="20"/>
        </w:rPr>
      </w:pPr>
      <w:r>
        <w:rPr>
          <w:rFonts w:ascii="Times New Roman" w:hAnsi="Times New Roman"/>
          <w:sz w:val="20"/>
        </w:rPr>
        <w:t xml:space="preserve">150 South Fifth Street, Suite 3300 </w:t>
      </w:r>
    </w:p>
    <w:p>
      <w:pPr>
        <w:pStyle w:val="TextBody"/>
        <w:bidi w:val="0"/>
        <w:spacing w:before="0" w:after="0"/>
        <w:jc w:val="left"/>
        <w:rPr>
          <w:rFonts w:ascii="Times New Roman" w:hAnsi="Times New Roman"/>
          <w:sz w:val="20"/>
        </w:rPr>
      </w:pPr>
      <w:r>
        <w:rPr>
          <w:rFonts w:ascii="Times New Roman" w:hAnsi="Times New Roman"/>
          <w:sz w:val="20"/>
        </w:rPr>
        <w:t xml:space="preserve">Minneapolis, Minnesota 55402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Re: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Ouster, Inc.. — Public Offering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understands that you, as Representative of the several Underwriters, propose to enter into an underwriting agreement (the “Underwriting Agreement”) with Ouster, Inc.., a Delaware corporation (the “Company”), providing for the public offering (the “Public Offering”) by the Underwriters listed in Schedule I to the Underwriting Agreement (the “Underwriters”), of shares of common stock, par value $0.0001 per share (the “Common Stock”), of the Company (the “Securities”). Capitalized terms used herein and not otherwise defined shall have the meanings set forth in the Underwriting Agreement. </w:t>
      </w:r>
    </w:p>
    <w:p>
      <w:pPr>
        <w:pStyle w:val="TextBody"/>
        <w:bidi w:val="0"/>
        <w:spacing w:before="240" w:after="0"/>
        <w:jc w:val="left"/>
        <w:rPr>
          <w:rFonts w:ascii="Times New Roman" w:hAnsi="Times New Roman"/>
          <w:sz w:val="20"/>
        </w:rPr>
      </w:pPr>
      <w:r>
        <w:rPr>
          <w:rFonts w:ascii="Times New Roman" w:hAnsi="Times New Roman"/>
          <w:sz w:val="20"/>
        </w:rPr>
        <w:t xml:space="preserve">In consideration of the Underwriters’ agreement to purchase and make the Public Offering of the Securities, and for other good and valuable consideration receipt of which is hereby acknowledged, the undersigned hereby agrees that, without the prior written consent of the Representative, the undersigned will not, and will not cause any direct or indirect affiliate to, during the period beginning on the date hereof and ending at the close of business 60 days after the date of the final prospectus supplement relating to the Public Offering (such period, the “Restricted Period”), (1)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(including without limitation, Common Stock or such other securities which may be deemed to be beneficially owned by the undersigned in accordance with the rules and regulations of the Securities and Exchange Commission and securities which may be issued upon exercise of a stock option or warrant) (collectively with the Common Stock, the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or (4) publicly disclose the intention to do any of the foregoing. The undersigned acknowledges and agrees that the foregoing precludes the undersigned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(whether by the undersigned or any other person) of any economic consequences of ownership, in whole or in part, directly or indirectly, of any Lock-Up Securities, whether any such transaction or arrangement (or instrument provided for thereunder) would be settled by delivery of Lock-Up Securities, in cash or otherwise.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undersigned may: </w:t>
      </w:r>
    </w:p>
    <w:p>
      <w:pPr>
        <w:pStyle w:val="TextBody"/>
        <w:bidi w:val="0"/>
        <w:spacing w:before="120" w:after="0"/>
        <w:jc w:val="left"/>
        <w:rPr>
          <w:rFonts w:ascii="Times New Roman" w:hAnsi="Times New Roman"/>
          <w:sz w:val="20"/>
        </w:rPr>
      </w:pPr>
      <w:r>
        <w:rPr>
          <w:rFonts w:ascii="Times New Roman" w:hAnsi="Times New Roman"/>
          <w:sz w:val="20"/>
        </w:rPr>
        <w:t xml:space="preserve">(a) transfer or dispose of the undersigned’s Lock-Up Securities: </w:t>
      </w:r>
    </w:p>
    <w:p>
      <w:pPr>
        <w:pStyle w:val="TextBody"/>
        <w:bidi w:val="0"/>
        <w:spacing w:before="120" w:after="0"/>
        <w:jc w:val="left"/>
        <w:rPr>
          <w:rFonts w:ascii="Times New Roman" w:hAnsi="Times New Roman"/>
          <w:sz w:val="20"/>
        </w:rPr>
      </w:pPr>
      <w:r>
        <w:rPr>
          <w:rFonts w:ascii="Times New Roman" w:hAnsi="Times New Roman"/>
          <w:sz w:val="20"/>
        </w:rPr>
        <w:t xml:space="preserve">(i) as a bona fide gift or gifts, or for bona fide tax planning or estate planning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by will or intestacy, </w:t>
      </w:r>
    </w:p>
    <w:p>
      <w:pPr>
        <w:pStyle w:val="TextBody"/>
        <w:bidi w:val="0"/>
        <w:spacing w:before="240" w:after="0"/>
        <w:jc w:val="left"/>
        <w:rPr>
          <w:rFonts w:ascii="Times New Roman" w:hAnsi="Times New Roman"/>
          <w:sz w:val="20"/>
        </w:rPr>
      </w:pPr>
      <w:r>
        <w:rPr>
          <w:rFonts w:ascii="Times New Roman" w:hAnsi="Times New Roman"/>
          <w:sz w:val="20"/>
        </w:rPr>
        <w:t xml:space="preserve">(iii) to any trust for the direct or indirect benefit of the undersigned or the immediate family of the undersigned, or if the undersigned is a trust, to a trustor or beneficiary of the trust or to the estate of a beneficiary of such trust (for purposes of this Lock-Up Agreement, “immediate family” shall mean any relationship by blood, current or former marriage, domestic partnership or adoption, not more remote than first cousin), </w:t>
      </w:r>
    </w:p>
    <w:p>
      <w:pPr>
        <w:pStyle w:val="TextBody"/>
        <w:bidi w:val="0"/>
        <w:spacing w:before="240" w:after="0"/>
        <w:jc w:val="left"/>
        <w:rPr>
          <w:rFonts w:ascii="Times New Roman" w:hAnsi="Times New Roman"/>
          <w:sz w:val="20"/>
        </w:rPr>
      </w:pPr>
      <w:r>
        <w:rPr>
          <w:rFonts w:ascii="Times New Roman" w:hAnsi="Times New Roman"/>
          <w:sz w:val="20"/>
        </w:rPr>
        <w:t xml:space="preserve">(iv) to a corporation, partnership, limited liability company or other entity of which the undersigned or the immediate family of the undersigned are the legal and beneficial owner of all of the outstanding equity securities or similar interests, </w:t>
      </w:r>
    </w:p>
    <w:p>
      <w:pPr>
        <w:pStyle w:val="TextBody"/>
        <w:bidi w:val="0"/>
        <w:spacing w:before="240" w:after="0"/>
        <w:jc w:val="left"/>
        <w:rPr>
          <w:rFonts w:ascii="Times New Roman" w:hAnsi="Times New Roman"/>
          <w:sz w:val="20"/>
        </w:rPr>
      </w:pPr>
      <w:r>
        <w:rPr>
          <w:rFonts w:ascii="Times New Roman" w:hAnsi="Times New Roman"/>
          <w:sz w:val="20"/>
        </w:rPr>
        <w:t xml:space="preserve">(v) to a nominee or custodian of a person or entity to whom a disposition or transfer would be permissible under clauses (i) through (iv) above, </w:t>
      </w:r>
    </w:p>
    <w:p>
      <w:pPr>
        <w:pStyle w:val="TextBody"/>
        <w:bidi w:val="0"/>
        <w:spacing w:before="240" w:after="0"/>
        <w:jc w:val="left"/>
        <w:rPr>
          <w:rFonts w:ascii="Times New Roman" w:hAnsi="Times New Roman"/>
          <w:sz w:val="20"/>
        </w:rPr>
      </w:pPr>
      <w:r>
        <w:rPr>
          <w:rFonts w:ascii="Times New Roman" w:hAnsi="Times New Roman"/>
          <w:sz w:val="20"/>
        </w:rPr>
        <w:t xml:space="preserve">(vi) if the undersigned is a corporation, partnership, limited liability company, trust or other business entity, (A) to another corporation, partnership, limited liability company, trust or other business entity that is an affiliate (as defined in Rule 405 promulgated under the Securities Act of 1933, as amended) of the undersigned, or to any investment fund or other entity controlling, controlled by, managing or managed by or under common control with the undersigned or affiliates of the undersigned (including, for the avoidance of doubt, where the undersigned is a partnership, to its general partner or a successor partnership or fund, or any other funds managed by such partnership), or (B) as part of a distribution or transfer to members, partners, shareholders or other equityholders of the undersigned, </w:t>
      </w:r>
    </w:p>
    <w:p>
      <w:pPr>
        <w:pStyle w:val="TextBody"/>
        <w:bidi w:val="0"/>
        <w:spacing w:before="240" w:after="0"/>
        <w:jc w:val="left"/>
        <w:rPr>
          <w:rFonts w:ascii="Times New Roman" w:hAnsi="Times New Roman"/>
          <w:sz w:val="20"/>
        </w:rPr>
      </w:pPr>
      <w:r>
        <w:rPr>
          <w:rFonts w:ascii="Times New Roman" w:hAnsi="Times New Roman"/>
          <w:sz w:val="20"/>
        </w:rPr>
        <w:t xml:space="preserve">(vii) by operation of law, such as pursuant to a qualified domestic order, divorce settlement, divorce decree or separation agreement, or related court order, </w:t>
      </w:r>
    </w:p>
    <w:p>
      <w:pPr>
        <w:pStyle w:val="TextBody"/>
        <w:bidi w:val="0"/>
        <w:spacing w:before="240" w:after="0"/>
        <w:jc w:val="left"/>
        <w:rPr>
          <w:rFonts w:ascii="Times New Roman" w:hAnsi="Times New Roman"/>
          <w:sz w:val="20"/>
        </w:rPr>
      </w:pPr>
      <w:r>
        <w:rPr>
          <w:rFonts w:ascii="Times New Roman" w:hAnsi="Times New Roman"/>
          <w:sz w:val="20"/>
        </w:rPr>
        <w:t xml:space="preserve">(viii) to the Company from an employee of the Company upon death, disability or termination of employment, in each case, of such employee, </w:t>
      </w:r>
    </w:p>
    <w:p>
      <w:pPr>
        <w:pStyle w:val="TextBody"/>
        <w:bidi w:val="0"/>
        <w:spacing w:before="240" w:after="0"/>
        <w:jc w:val="left"/>
        <w:rPr>
          <w:rFonts w:ascii="Times New Roman" w:hAnsi="Times New Roman"/>
          <w:sz w:val="20"/>
        </w:rPr>
      </w:pPr>
      <w:r>
        <w:rPr>
          <w:rFonts w:ascii="Times New Roman" w:hAnsi="Times New Roman"/>
          <w:sz w:val="20"/>
        </w:rPr>
        <w:t xml:space="preserve">(ix) as part of a sale of the undersigned’s Lock-Up Securities acquired in the Public Offering and any transaction with respect to shares of Common Stock acquired in open market transactions after the completion of the Public Offering, </w:t>
      </w:r>
    </w:p>
    <w:p>
      <w:pPr>
        <w:pStyle w:val="TextBody"/>
        <w:bidi w:val="0"/>
        <w:spacing w:before="240" w:after="0"/>
        <w:jc w:val="left"/>
        <w:rPr>
          <w:rFonts w:ascii="Times New Roman" w:hAnsi="Times New Roman"/>
          <w:sz w:val="20"/>
        </w:rPr>
      </w:pPr>
      <w:r>
        <w:rPr>
          <w:rFonts w:ascii="Times New Roman" w:hAnsi="Times New Roman"/>
          <w:sz w:val="20"/>
        </w:rPr>
        <w:t xml:space="preserve">(x) to the Company in connection with the vesting, settlement, or exercise of restricted stock, restricted stock units, performance units options, warrants or other rights to purchase shares of Common Stock (including, in each case, by way of “net” or “cashless” exercise), including for the payment of exercise price and tax and remittance payments due as a result of the vesting, settlement, or exercise of such restricted stock, restricted stock units, performance units, options, warrants or rights, provided that any such shares of Common Stock received upon such exercise, vesting or settlement (other than such shares as are transferred or surrendered to the Company in connection with such vesting, settlement or exercise event) shall be subject to the terms of this Lock-Up Agreement, and provided further that any such restricted stock, restricted stock units, performance units, options, warrants or rights are held by the undersigned pursuant to an agreement or equity awards granted under a stock incentive plan or other equity award plan, each such agreement or plan which is described in the Registration Statement, the Pricing Disclosure Package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(xi) pursuant to a bona fide third-party tender offer, merger, consolidation, stock exchange or other similar transaction that is approved by the Board of Directors of the Company and made to all holders of the Company’s capital stock involving a Change of Control of the Company. For purposes hereof, “Change of Control” shall mean the transfer (whether by tender offer, merger, consolidation, stock exchange or other similar transaction), in one transaction or a series of related transactions, to a person or group of affiliated persons (other than the Underwriters pursuant to the Public Offering), of shares of capital stock if, after such transfer, such person or group of affiliated persons would hold more than 50% of the outstanding voting securities of the Company (or the surviving entity); provided that in the event that such tender offer, merger, consolidation, stock exchange or other similar transaction is not completed, the undersigned’s Lock-Up Securities shall remain subject to the provisions of this Lock-Up Agreement,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(xii) pursuant to a trading plans pursuant to Rule 10b5-1 under the Exchange Act for the transfer of shares of Lock-Up Securities (each such plan, a “Trading Plan”) in effect as of the date hereof which has been provided to the Representative or their legal counsel. </w:t>
      </w:r>
    </w:p>
    <w:p>
      <w:pPr>
        <w:pStyle w:val="TextBody"/>
        <w:bidi w:val="0"/>
        <w:spacing w:before="240" w:after="0"/>
        <w:jc w:val="left"/>
        <w:rPr>
          <w:rFonts w:ascii="Times New Roman" w:hAnsi="Times New Roman"/>
          <w:sz w:val="20"/>
        </w:rPr>
      </w:pPr>
      <w:r>
        <w:rPr>
          <w:rFonts w:ascii="Times New Roman" w:hAnsi="Times New Roman"/>
          <w:sz w:val="20"/>
        </w:rPr>
        <w:t xml:space="preserve">provided that (A) in the case of any transfer or distribution pursuant to clauses (a)(i), (ii), (iii), (iv), (v) and (vi), such transfer shall not involve a disposition for value, (B) in the case of any transfer or distribution pursuant to clauses (a)(i), (ii), (iii), (iv), (v), (vi) and (vii), each donee, devisee, transferee or distributee shall execute and deliver to the Representative a lock-up letter in the form of this Lock-Up Agreement, (C) in the case of any transfer or distribution pursuant to clause (a)(ii), (iv), (v), and (vi), no filing by any party (donor, donee, devisee, transferor, transferee, distributer or distributee) under the Exchange Act, or other public announcement reporting a reduction in beneficial ownership of shares of Common Stock shall be required or shall be made voluntarily in connection with such transfer or distribution (other than a filing on a Form 5 made after the expiration of the Restricted Period referred to above), (D) in the case of any transfer or distribution pursuant to clauses (a)(i), (iii), (vii), (viii), (ix), and (x) it shall be a condition to such transfer that no public filing, report or announcement shall be voluntarily made and if any filing under Section 16(a) of the Exchange Act, or other public filing, report or announcement reporting a reduction in beneficial ownership of shares of Common Stock in connection with such transfer or distribution shall be legally required during the Restricted Period, such filing, report or announcement shall clearly indicate the nature and conditions of such transfer in the footnotes thereto or by transaction code and (E) in the case of any transfer or distribution pursuant to clause (a)(xii), any filing required under Section 16 of the Exchange Act during the Restricted Period shall clearly indicate in the footnotes thereto that the filing relates to a transaction pursuant to a 10b5-1 Trading Plan; </w:t>
      </w:r>
    </w:p>
    <w:p>
      <w:pPr>
        <w:pStyle w:val="TextBody"/>
        <w:bidi w:val="0"/>
        <w:spacing w:before="240" w:after="0"/>
        <w:jc w:val="left"/>
        <w:rPr>
          <w:rFonts w:ascii="Times New Roman" w:hAnsi="Times New Roman"/>
          <w:sz w:val="20"/>
        </w:rPr>
      </w:pPr>
      <w:r>
        <w:rPr>
          <w:rFonts w:ascii="Times New Roman" w:hAnsi="Times New Roman"/>
          <w:sz w:val="20"/>
        </w:rPr>
        <w:t xml:space="preserve">(b) exercise outstanding options or warrants, or settle restricted stock, restricted stock units, performance units or other equity awards pursuant to plans described in the Registration Statement, the Pricing Disclosure Package and the Prospectus; provided that any Lock-up Securities received upon such exercise, vesting or settlement shall be subject to the terms of this Lock-Up Agreement; provided that if the undersigned is required to make any filing under Section 16(a) of the Exchange Act, or other public filing, report or announcement during the Restricted Period, the undersigned shall clearly indicate that the filing relates to the circumstances described in this clause by footnotes thereto or transaction code and that the shares of Common Stock received upon the exercise, vesting or settlement, as applicable, are subject to this Lock-Up Agreement, and no public filing, report or announcement shall be voluntarily made; and </w:t>
      </w:r>
    </w:p>
    <w:p>
      <w:pPr>
        <w:pStyle w:val="TextBody"/>
        <w:bidi w:val="0"/>
        <w:spacing w:before="240" w:after="0"/>
        <w:jc w:val="left"/>
        <w:rPr>
          <w:rFonts w:ascii="Times New Roman" w:hAnsi="Times New Roman"/>
          <w:sz w:val="20"/>
        </w:rPr>
      </w:pPr>
      <w:r>
        <w:rPr>
          <w:rFonts w:ascii="Times New Roman" w:hAnsi="Times New Roman"/>
          <w:sz w:val="20"/>
        </w:rPr>
        <w:t xml:space="preserve">(c) establish Trading Plans; provided that such (1) Trading Plans do not provide for the transfer of Lock-Up Securities during the Restricted Period and (2) no filing by any party under the Exchange Act or other public announcement shall be made voluntarily during the Restricted Period in connection with such trading plan and if any such filing or public announcement shall be legally required during the Restricted Period, such filing or public announcement shall clearly indicate therein that none of the securities subject to such plan may be transferred, sold or otherwise disposed of pursuant to such plan until after expiration of the Restricted Period. </w:t>
      </w:r>
    </w:p>
    <w:p>
      <w:pPr>
        <w:pStyle w:val="TextBody"/>
        <w:bidi w:val="0"/>
        <w:spacing w:before="240" w:after="0"/>
        <w:jc w:val="left"/>
        <w:rPr>
          <w:rFonts w:ascii="Times New Roman" w:hAnsi="Times New Roman"/>
          <w:sz w:val="20"/>
        </w:rPr>
      </w:pPr>
      <w:r>
        <w:rPr>
          <w:rFonts w:ascii="Times New Roman" w:hAnsi="Times New Roman"/>
          <w:sz w:val="20"/>
        </w:rPr>
        <w:t xml:space="preserve">If the undersigned is not a natural person, the undersigned represents and warrants that no single natural person, entity or “group” (within the meaning of Section 13(d)(3) of the Exchange Act) other than a natural person, entity or “group” (as described above) that has executed a Lock-Up Agreement in substantially the same form as this Lock-Up Agreement, beneficially owns, directly or indirectly, 50% or more of the common equity interests, or 50% or more of the voting power, in the undersigned. </w:t>
      </w:r>
    </w:p>
    <w:p>
      <w:pPr>
        <w:pStyle w:val="TextBody"/>
        <w:bidi w:val="0"/>
        <w:spacing w:before="240" w:after="0"/>
        <w:jc w:val="left"/>
        <w:rPr>
          <w:rFonts w:ascii="Times New Roman" w:hAnsi="Times New Roman"/>
          <w:sz w:val="20"/>
        </w:rPr>
      </w:pPr>
      <w:r>
        <w:rPr>
          <w:rFonts w:ascii="Times New Roman" w:hAnsi="Times New Roman"/>
          <w:sz w:val="20"/>
        </w:rPr>
        <w:t xml:space="preserve">In furtherance of the foregoing, the Company, and any duly appointed transfer agent for the registration or transfer of the securities described herein, are hereby authorized to decline to make any transfer of securities if such transfer would constitute a violation or breach of this Lock-Up Agreement.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hereby represents and warrants that the undersigned has full power and authority to enter into this Lock-Up Agreement. All authority herein conferred or agreed to be conferred and any obligations of the undersigned shall be binding upon the successors, assigns, heirs or personal representatives of the undersigned.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undersigned acknowledges and agrees that the Underwriters have not provided any recommendation or investment advice nor have the Underwriters solicited any action from the undersigned with respect to the Public Offering of the Securities and the undersigned has consulted its own legal, accounting, financial, regulatory and tax advisors to the extent deemed appropriate. The undersigned further acknowledges and agrees that, although each Underwriter may be required or choose to provide certain Regulation Best Interest and Form CRS disclosures to you in connection with the Public Offering, none of the Representative or any other Underwriter is making a recommendation to you to enter into this Lock-Up Agreement and nothing set forth in such disclosures is intended to suggest that the Representative or any other Underwriter is making such a recommendation.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understands that, (i) if the Underwriting Agreement does not become effective by July 15, 2026, (ii) if the Underwriting Agreement (other than the provisions thereof which survive termination) shall terminate or be terminated prior to payment for and delivery of the Common Stock to be sold thereunder, (iii) the Company notifies the Representative, or the Representative notifies the Company, in writing prior to the execution of the Underwriting Agreement that it does not intend to proceed with the Public Offering, or (iv) prior to payment for the Securities, the Registration Statement is withdrawn prior to the execution of the Underwriting Agreement, the Lock-Up Agreement shall automatically terminate and be of no further force or effect and undersigned shall be released from all obligations under this Lock-Up Agreement. The undersigned understands that the Underwriters are entering into the Underwriting Agreement and proceeding with the Public Offering in reliance upon this Lock-Up Agreement.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hereby consents to receipt of this Lock-Up Agreement in electronic form and understands and agrees that this Lock-Up Agreement may be signed electronically. In the event that any signature is delivered by facsimile transmission, electronic mail, or otherwise by electronic transmission (including any electronic signature complying with the U.S. federal ESIGN Act of 2000, </w:t>
      </w:r>
      <w:r>
        <w:rPr>
          <w:rFonts w:ascii="Times New Roman" w:hAnsi="Times New Roman"/>
          <w:i/>
          <w:sz w:val="20"/>
        </w:rPr>
        <w:t>e.g.</w:t>
      </w:r>
      <w:r>
        <w:rPr>
          <w:rFonts w:ascii="Times New Roman" w:hAnsi="Times New Roman"/>
          <w:sz w:val="20"/>
        </w:rPr>
        <w:t xml:space="preserve">, www.docusign.com) evidencing an intent to sign this Lock-Up Agreement, such facsimile transmission, electronic mail or other electronic transmission shall create a valid and binding obligation of the undersigned with the same force and effect as if such signature were an original. Execution and delivery of this Lock-Up Agreement by facsimile transmission, electronic mail or other electronic transmission is legal, valid and binding for all purposes.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Lock-Up Agreement and any claim, controversy or dispute arising under or related to this Lock-Up Agreement shall be governed by and construed in accordance with the laws of the State of New York.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5"/>
        <w:gridCol w:w="60"/>
        <w:gridCol w:w="3647"/>
      </w:tblGrid>
      <w:tr>
        <w:trPr/>
        <w:tc>
          <w:tcPr>
            <w:tcW w:w="3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 </w:t>
            </w:r>
          </w:p>
        </w:tc>
      </w:tr>
      <w:tr>
        <w:trPr/>
        <w:tc>
          <w:tcPr>
            <w:tcW w:w="4082" w:type="dxa"/>
            <w:gridSpan w:val="3"/>
            <w:tcBorders/>
          </w:tcPr>
          <w:p>
            <w:pPr>
              <w:pStyle w:val="TableContents"/>
              <w:bidi w:val="0"/>
              <w:spacing w:before="0" w:after="283"/>
              <w:jc w:val="left"/>
              <w:rPr/>
            </w:pPr>
            <w:r>
              <w:rPr/>
              <w:t xml:space="preserve">Name of Security Holder </w:t>
            </w:r>
            <w:r>
              <w:rPr>
                <w:i/>
              </w:rPr>
              <w:t>(Print exact name)</w:t>
            </w:r>
          </w:p>
        </w:tc>
      </w:tr>
      <w:tr>
        <w:trPr>
          <w:trHeight w:val="240" w:hRule="atLeast"/>
        </w:trPr>
        <w:tc>
          <w:tcPr>
            <w:tcW w:w="375" w:type="dxa"/>
            <w:tcBorders/>
            <w:vAlign w:val="center"/>
          </w:tcPr>
          <w:p>
            <w:pPr>
              <w:pStyle w:val="TableContents"/>
              <w:bidi w:val="0"/>
              <w:spacing w:before="0" w:after="283"/>
              <w:jc w:val="left"/>
              <w:rPr>
                <w:sz w:val="4"/>
                <w:szCs w:val="4"/>
              </w:rPr>
            </w:pPr>
            <w:r>
              <w:rPr>
                <w:sz w:val="4"/>
                <w:szCs w:val="4"/>
              </w:rPr>
            </w:r>
          </w:p>
        </w:tc>
        <w:tc>
          <w:tcPr>
            <w:tcW w:w="3707" w:type="dxa"/>
            <w:gridSpan w:val="2"/>
            <w:tcBorders/>
            <w:vAlign w:val="center"/>
          </w:tcPr>
          <w:p>
            <w:pPr>
              <w:pStyle w:val="TableContents"/>
              <w:bidi w:val="0"/>
              <w:spacing w:before="0" w:after="283"/>
              <w:jc w:val="left"/>
              <w:rPr>
                <w:sz w:val="4"/>
                <w:szCs w:val="4"/>
              </w:rPr>
            </w:pPr>
            <w:r>
              <w:rPr>
                <w:sz w:val="4"/>
                <w:szCs w:val="4"/>
              </w:rPr>
            </w:r>
          </w:p>
        </w:tc>
      </w:tr>
      <w:tr>
        <w:trPr/>
        <w:tc>
          <w:tcPr>
            <w:tcW w:w="37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7" w:type="dxa"/>
            <w:tcBorders>
              <w:bottom w:val="single" w:sz="2" w:space="0" w:color="000000"/>
            </w:tcBorders>
            <w:tcMar>
              <w:bottom w:w="28" w:type="dxa"/>
            </w:tcMar>
          </w:tcPr>
          <w:p>
            <w:pPr>
              <w:pStyle w:val="TableContents"/>
              <w:bidi w:val="0"/>
              <w:spacing w:before="0" w:after="283"/>
              <w:jc w:val="left"/>
              <w:rPr/>
            </w:pPr>
            <w:r>
              <w:rPr/>
              <w:t> </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bidi w:val="0"/>
              <w:spacing w:before="0" w:after="283"/>
              <w:jc w:val="left"/>
              <w:rPr/>
            </w:pPr>
            <w:r>
              <w:rPr/>
              <w:t>Signature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If not signing in an individual capacity: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 </w:t>
            </w:r>
          </w:p>
        </w:tc>
      </w:tr>
      <w:tr>
        <w:trPr/>
        <w:tc>
          <w:tcPr>
            <w:tcW w:w="4082" w:type="dxa"/>
            <w:gridSpan w:val="3"/>
            <w:tcBorders/>
          </w:tcPr>
          <w:p>
            <w:pPr>
              <w:pStyle w:val="TableContents"/>
              <w:bidi w:val="0"/>
              <w:spacing w:before="0" w:after="283"/>
              <w:jc w:val="left"/>
              <w:rPr/>
            </w:pPr>
            <w:r>
              <w:rPr/>
              <w:t xml:space="preserve">Name of Authorized Signatory </w:t>
            </w:r>
            <w:r>
              <w:rPr>
                <w:i/>
              </w:rPr>
              <w:t>(Print)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 </w:t>
            </w:r>
          </w:p>
        </w:tc>
      </w:tr>
      <w:tr>
        <w:trPr/>
        <w:tc>
          <w:tcPr>
            <w:tcW w:w="4082" w:type="dxa"/>
            <w:gridSpan w:val="3"/>
            <w:tcBorders/>
          </w:tcPr>
          <w:p>
            <w:pPr>
              <w:pStyle w:val="TableContents"/>
              <w:bidi w:val="0"/>
              <w:spacing w:before="0" w:after="283"/>
              <w:jc w:val="left"/>
              <w:rPr/>
            </w:pPr>
            <w:r>
              <w:rPr/>
              <w:t xml:space="preserve">Title of Authorized Signatory </w:t>
            </w:r>
            <w:r>
              <w:rPr>
                <w:i/>
              </w:rPr>
              <w:t>(Print)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i/>
              </w:rPr>
            </w:pPr>
            <w:r>
              <w:rPr>
                <w:i/>
              </w:rPr>
              <w:t>(indicate capacity of person signing if signing as custodian, trustee, or on behalf of an entity)</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Lock-Up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p>
    <w:p>
      <w:pPr>
        <w:pStyle w:val="TextBody"/>
        <w:bidi w:val="0"/>
        <w:spacing w:before="0" w:after="0"/>
        <w:jc w:val="right"/>
        <w:rPr>
          <w:rFonts w:ascii="Times New Roman" w:hAnsi="Times New Roman"/>
          <w:b/>
          <w:sz w:val="20"/>
        </w:rPr>
      </w:pPr>
      <w:bookmarkStart w:id="4" w:name="d115877dex51.htm"/>
      <w:bookmarkStart w:id="5" w:name="ksd115877dex51"/>
      <w:bookmarkEnd w:id="4"/>
      <w:bookmarkEnd w:id="5"/>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635"/>
        <w:gridCol w:w="129"/>
        <w:gridCol w:w="1780"/>
        <w:gridCol w:w="165"/>
        <w:gridCol w:w="2496"/>
      </w:tblGrid>
      <w:tr>
        <w:trPr/>
        <w:tc>
          <w:tcPr>
            <w:tcW w:w="5635"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2496" w:type="dxa"/>
            <w:tcBorders/>
            <w:vAlign w:val="center"/>
          </w:tcPr>
          <w:p>
            <w:pPr>
              <w:pStyle w:val="TableContents"/>
              <w:bidi w:val="0"/>
              <w:spacing w:before="0" w:after="283"/>
              <w:jc w:val="left"/>
              <w:rPr>
                <w:sz w:val="4"/>
                <w:szCs w:val="4"/>
              </w:rPr>
            </w:pPr>
            <w:r>
              <w:rPr>
                <w:sz w:val="4"/>
                <w:szCs w:val="4"/>
              </w:rPr>
            </w:r>
          </w:p>
        </w:tc>
      </w:tr>
      <w:tr>
        <w:trPr/>
        <w:tc>
          <w:tcPr>
            <w:tcW w:w="5635" w:type="dxa"/>
            <w:vMerge w:val="restart"/>
            <w:tcBorders/>
            <w:vAlign w:val="bottom"/>
          </w:tcPr>
          <w:p>
            <w:pPr>
              <w:pStyle w:val="TableContents"/>
              <w:bidi w:val="0"/>
              <w:spacing w:before="0" w:after="283"/>
              <w:jc w:val="left"/>
              <w:rPr/>
            </w:pPr>
            <w:r>
              <w:rPr/>
              <w:drawing>
                <wp:inline distT="0" distB="0" distL="0" distR="0">
                  <wp:extent cx="2667000" cy="266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67000" cy="266700"/>
                          </a:xfrm>
                          <a:prstGeom prst="rect">
                            <a:avLst/>
                          </a:prstGeom>
                        </pic:spPr>
                      </pic:pic>
                    </a:graphicData>
                  </a:graphic>
                </wp:inline>
              </w:drawing>
            </w:r>
            <w:r>
              <w:rPr/>
              <w:t xml:space="preserve"> </w:t>
            </w:r>
          </w:p>
        </w:tc>
        <w:tc>
          <w:tcPr>
            <w:tcW w:w="129" w:type="dxa"/>
            <w:tcBorders/>
            <w:vAlign w:val="bottom"/>
          </w:tcPr>
          <w:p>
            <w:pPr>
              <w:pStyle w:val="TableContents"/>
              <w:bidi w:val="0"/>
              <w:spacing w:before="0" w:after="283"/>
              <w:jc w:val="left"/>
              <w:rPr/>
            </w:pPr>
            <w:r>
              <w:rPr/>
              <w:t>  </w:t>
            </w:r>
          </w:p>
        </w:tc>
        <w:tc>
          <w:tcPr>
            <w:tcW w:w="4441" w:type="dxa"/>
            <w:gridSpan w:val="3"/>
            <w:tcBorders/>
          </w:tcPr>
          <w:p>
            <w:pPr>
              <w:pStyle w:val="TableContents"/>
              <w:bidi w:val="0"/>
              <w:spacing w:before="0" w:after="283"/>
              <w:jc w:val="left"/>
              <w:rPr/>
            </w:pPr>
            <w:r>
              <w:rPr/>
              <w:t>650 Town Center Drive, 20th Floor</w:t>
            </w:r>
          </w:p>
        </w:tc>
      </w:tr>
      <w:tr>
        <w:trPr/>
        <w:tc>
          <w:tcPr>
            <w:tcW w:w="5635" w:type="dxa"/>
            <w:vMerge w:val="continue"/>
            <w:tcBorders/>
            <w:vAlign w:val="bottom"/>
          </w:tcPr>
          <w:p>
            <w:pPr>
              <w:pStyle w:val="Normal"/>
              <w:bidi w:val="0"/>
              <w:jc w:val="left"/>
              <w:rPr/>
            </w:pPr>
            <w:r>
              <w:rPr/>
            </w:r>
          </w:p>
        </w:tc>
        <w:tc>
          <w:tcPr>
            <w:tcW w:w="129" w:type="dxa"/>
            <w:tcBorders/>
            <w:vAlign w:val="bottom"/>
          </w:tcPr>
          <w:p>
            <w:pPr>
              <w:pStyle w:val="TableContents"/>
              <w:bidi w:val="0"/>
              <w:spacing w:before="0" w:after="283"/>
              <w:jc w:val="left"/>
              <w:rPr/>
            </w:pPr>
            <w:r>
              <w:rPr/>
              <w:t>  </w:t>
            </w:r>
          </w:p>
        </w:tc>
        <w:tc>
          <w:tcPr>
            <w:tcW w:w="4441" w:type="dxa"/>
            <w:gridSpan w:val="3"/>
            <w:tcBorders/>
          </w:tcPr>
          <w:p>
            <w:pPr>
              <w:pStyle w:val="TableContents"/>
              <w:bidi w:val="0"/>
              <w:spacing w:before="0" w:after="283"/>
              <w:jc w:val="left"/>
              <w:rPr/>
            </w:pPr>
            <w:r>
              <w:rPr/>
              <w:t>Costa Mesa, California 92626-1925</w:t>
            </w:r>
          </w:p>
        </w:tc>
      </w:tr>
      <w:tr>
        <w:trPr/>
        <w:tc>
          <w:tcPr>
            <w:tcW w:w="5635" w:type="dxa"/>
            <w:vMerge w:val="continue"/>
            <w:tcBorders/>
            <w:vAlign w:val="bottom"/>
          </w:tcPr>
          <w:p>
            <w:pPr>
              <w:pStyle w:val="Normal"/>
              <w:bidi w:val="0"/>
              <w:jc w:val="left"/>
              <w:rPr/>
            </w:pPr>
            <w:r>
              <w:rPr/>
            </w:r>
          </w:p>
        </w:tc>
        <w:tc>
          <w:tcPr>
            <w:tcW w:w="129" w:type="dxa"/>
            <w:tcBorders/>
            <w:vAlign w:val="bottom"/>
          </w:tcPr>
          <w:p>
            <w:pPr>
              <w:pStyle w:val="TableContents"/>
              <w:bidi w:val="0"/>
              <w:spacing w:before="0" w:after="283"/>
              <w:jc w:val="left"/>
              <w:rPr/>
            </w:pPr>
            <w:r>
              <w:rPr/>
              <w:t>  </w:t>
            </w:r>
          </w:p>
        </w:tc>
        <w:tc>
          <w:tcPr>
            <w:tcW w:w="4441" w:type="dxa"/>
            <w:gridSpan w:val="3"/>
            <w:tcBorders/>
          </w:tcPr>
          <w:p>
            <w:pPr>
              <w:pStyle w:val="TableContents"/>
              <w:bidi w:val="0"/>
              <w:spacing w:before="0" w:after="283"/>
              <w:jc w:val="left"/>
              <w:rPr/>
            </w:pPr>
            <w:r>
              <w:rPr/>
              <w:t>Tel: +1.714.540.1235 Fax: +1.714.755.8290</w:t>
            </w:r>
          </w:p>
        </w:tc>
      </w:tr>
      <w:tr>
        <w:trPr/>
        <w:tc>
          <w:tcPr>
            <w:tcW w:w="5635" w:type="dxa"/>
            <w:vMerge w:val="continue"/>
            <w:tcBorders/>
            <w:vAlign w:val="bottom"/>
          </w:tcPr>
          <w:p>
            <w:pPr>
              <w:pStyle w:val="Normal"/>
              <w:bidi w:val="0"/>
              <w:jc w:val="left"/>
              <w:rPr/>
            </w:pPr>
            <w:r>
              <w:rPr/>
            </w:r>
          </w:p>
        </w:tc>
        <w:tc>
          <w:tcPr>
            <w:tcW w:w="129" w:type="dxa"/>
            <w:tcBorders/>
            <w:vAlign w:val="bottom"/>
          </w:tcPr>
          <w:p>
            <w:pPr>
              <w:pStyle w:val="TableContents"/>
              <w:bidi w:val="0"/>
              <w:spacing w:before="0" w:after="283"/>
              <w:jc w:val="left"/>
              <w:rPr/>
            </w:pPr>
            <w:r>
              <w:rPr/>
              <w:t>  </w:t>
            </w:r>
          </w:p>
        </w:tc>
        <w:tc>
          <w:tcPr>
            <w:tcW w:w="4441" w:type="dxa"/>
            <w:gridSpan w:val="3"/>
            <w:tcBorders/>
          </w:tcPr>
          <w:p>
            <w:pPr>
              <w:pStyle w:val="TableContents"/>
              <w:bidi w:val="0"/>
              <w:spacing w:before="0" w:after="283"/>
              <w:jc w:val="left"/>
              <w:rPr/>
            </w:pPr>
            <w:r>
              <w:rPr/>
              <w:t>www.lw.com</w:t>
            </w:r>
          </w:p>
        </w:tc>
      </w:tr>
      <w:tr>
        <w:trPr/>
        <w:tc>
          <w:tcPr>
            <w:tcW w:w="5635" w:type="dxa"/>
            <w:vMerge w:val="continue"/>
            <w:tcBorders/>
            <w:vAlign w:val="bottom"/>
          </w:tcPr>
          <w:p>
            <w:pPr>
              <w:pStyle w:val="Normal"/>
              <w:bidi w:val="0"/>
              <w:jc w:val="left"/>
              <w:rPr/>
            </w:pPr>
            <w:r>
              <w:rPr/>
            </w:r>
          </w:p>
        </w:tc>
        <w:tc>
          <w:tcPr>
            <w:tcW w:w="129" w:type="dxa"/>
            <w:tcBorders/>
            <w:vAlign w:val="bottom"/>
          </w:tcPr>
          <w:p>
            <w:pPr>
              <w:pStyle w:val="TableContents"/>
              <w:bidi w:val="0"/>
              <w:spacing w:before="0" w:after="283"/>
              <w:jc w:val="left"/>
              <w:rPr/>
            </w:pPr>
            <w:r>
              <w:rPr/>
              <w:t>  </w:t>
            </w:r>
          </w:p>
        </w:tc>
        <w:tc>
          <w:tcPr>
            <w:tcW w:w="4441" w:type="dxa"/>
            <w:gridSpan w:val="3"/>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FIRM / AFFILIATE OFFICES</w:t>
            </w:r>
          </w:p>
        </w:tc>
      </w:tr>
      <w:tr>
        <w:trPr/>
        <w:tc>
          <w:tcPr>
            <w:tcW w:w="5635" w:type="dxa"/>
            <w:vMerge w:val="continue"/>
            <w:tcBorders/>
            <w:vAlign w:val="bottom"/>
          </w:tcPr>
          <w:p>
            <w:pPr>
              <w:pStyle w:val="Normal"/>
              <w:bidi w:val="0"/>
              <w:jc w:val="left"/>
              <w:rPr/>
            </w:pPr>
            <w:r>
              <w:rPr/>
            </w:r>
          </w:p>
        </w:tc>
        <w:tc>
          <w:tcPr>
            <w:tcW w:w="129" w:type="dxa"/>
            <w:tcBorders/>
            <w:vAlign w:val="bottom"/>
          </w:tcPr>
          <w:p>
            <w:pPr>
              <w:pStyle w:val="TableContents"/>
              <w:bidi w:val="0"/>
              <w:spacing w:before="0" w:after="283"/>
              <w:jc w:val="left"/>
              <w:rPr/>
            </w:pPr>
            <w:r>
              <w:rPr/>
              <w:t>  </w:t>
            </w:r>
          </w:p>
        </w:tc>
        <w:tc>
          <w:tcPr>
            <w:tcW w:w="1780" w:type="dxa"/>
            <w:tcBorders/>
          </w:tcPr>
          <w:p>
            <w:pPr>
              <w:pStyle w:val="TableContents"/>
              <w:bidi w:val="0"/>
              <w:spacing w:before="0" w:after="283"/>
              <w:jc w:val="left"/>
              <w:rPr/>
            </w:pPr>
            <w:r>
              <w:rPr/>
              <w:t>Austin</w:t>
            </w:r>
          </w:p>
        </w:tc>
        <w:tc>
          <w:tcPr>
            <w:tcW w:w="165" w:type="dxa"/>
            <w:tcBorders/>
            <w:vAlign w:val="bottom"/>
          </w:tcPr>
          <w:p>
            <w:pPr>
              <w:pStyle w:val="TableContents"/>
              <w:bidi w:val="0"/>
              <w:spacing w:before="0" w:after="283"/>
              <w:jc w:val="left"/>
              <w:rPr/>
            </w:pPr>
            <w:r>
              <w:rPr/>
              <w:t>  </w:t>
            </w:r>
          </w:p>
        </w:tc>
        <w:tc>
          <w:tcPr>
            <w:tcW w:w="2496" w:type="dxa"/>
            <w:tcBorders/>
          </w:tcPr>
          <w:p>
            <w:pPr>
              <w:pStyle w:val="TableContents"/>
              <w:bidi w:val="0"/>
              <w:spacing w:before="0" w:after="283"/>
              <w:jc w:val="left"/>
              <w:rPr/>
            </w:pPr>
            <w:r>
              <w:rPr/>
              <w:t>Milan</w:t>
            </w:r>
          </w:p>
        </w:tc>
      </w:tr>
      <w:tr>
        <w:trPr/>
        <w:tc>
          <w:tcPr>
            <w:tcW w:w="5635"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780" w:type="dxa"/>
            <w:tcBorders/>
          </w:tcPr>
          <w:p>
            <w:pPr>
              <w:pStyle w:val="TableContents"/>
              <w:bidi w:val="0"/>
              <w:spacing w:before="0" w:after="283"/>
              <w:jc w:val="left"/>
              <w:rPr/>
            </w:pPr>
            <w:r>
              <w:rPr/>
              <w:t>Beijing</w:t>
            </w:r>
          </w:p>
        </w:tc>
        <w:tc>
          <w:tcPr>
            <w:tcW w:w="165" w:type="dxa"/>
            <w:tcBorders/>
            <w:vAlign w:val="bottom"/>
          </w:tcPr>
          <w:p>
            <w:pPr>
              <w:pStyle w:val="TableContents"/>
              <w:bidi w:val="0"/>
              <w:spacing w:before="0" w:after="283"/>
              <w:jc w:val="left"/>
              <w:rPr/>
            </w:pPr>
            <w:r>
              <w:rPr/>
              <w:t>  </w:t>
            </w:r>
          </w:p>
        </w:tc>
        <w:tc>
          <w:tcPr>
            <w:tcW w:w="2496" w:type="dxa"/>
            <w:tcBorders/>
          </w:tcPr>
          <w:p>
            <w:pPr>
              <w:pStyle w:val="TableContents"/>
              <w:bidi w:val="0"/>
              <w:spacing w:before="0" w:after="283"/>
              <w:jc w:val="left"/>
              <w:rPr/>
            </w:pPr>
            <w:r>
              <w:rPr/>
              <w:t>Munich</w:t>
            </w:r>
          </w:p>
        </w:tc>
      </w:tr>
      <w:tr>
        <w:trPr/>
        <w:tc>
          <w:tcPr>
            <w:tcW w:w="5635"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780" w:type="dxa"/>
            <w:tcBorders/>
          </w:tcPr>
          <w:p>
            <w:pPr>
              <w:pStyle w:val="TableContents"/>
              <w:bidi w:val="0"/>
              <w:spacing w:before="0" w:after="283"/>
              <w:jc w:val="left"/>
              <w:rPr/>
            </w:pPr>
            <w:r>
              <w:rPr/>
              <w:t>Boston</w:t>
            </w:r>
          </w:p>
        </w:tc>
        <w:tc>
          <w:tcPr>
            <w:tcW w:w="165" w:type="dxa"/>
            <w:tcBorders/>
            <w:vAlign w:val="bottom"/>
          </w:tcPr>
          <w:p>
            <w:pPr>
              <w:pStyle w:val="TableContents"/>
              <w:bidi w:val="0"/>
              <w:spacing w:before="0" w:after="283"/>
              <w:jc w:val="left"/>
              <w:rPr/>
            </w:pPr>
            <w:r>
              <w:rPr/>
              <w:t>  </w:t>
            </w:r>
          </w:p>
        </w:tc>
        <w:tc>
          <w:tcPr>
            <w:tcW w:w="2496" w:type="dxa"/>
            <w:tcBorders/>
          </w:tcPr>
          <w:p>
            <w:pPr>
              <w:pStyle w:val="TableContents"/>
              <w:bidi w:val="0"/>
              <w:spacing w:before="0" w:after="283"/>
              <w:jc w:val="left"/>
              <w:rPr/>
            </w:pPr>
            <w:r>
              <w:rPr/>
              <w:t>New York</w:t>
            </w:r>
          </w:p>
        </w:tc>
      </w:tr>
      <w:tr>
        <w:trPr/>
        <w:tc>
          <w:tcPr>
            <w:tcW w:w="5635"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780" w:type="dxa"/>
            <w:tcBorders/>
          </w:tcPr>
          <w:p>
            <w:pPr>
              <w:pStyle w:val="TableContents"/>
              <w:bidi w:val="0"/>
              <w:spacing w:before="0" w:after="283"/>
              <w:jc w:val="left"/>
              <w:rPr/>
            </w:pPr>
            <w:r>
              <w:rPr/>
              <w:t>Brussels</w:t>
            </w:r>
          </w:p>
        </w:tc>
        <w:tc>
          <w:tcPr>
            <w:tcW w:w="165" w:type="dxa"/>
            <w:tcBorders/>
            <w:vAlign w:val="bottom"/>
          </w:tcPr>
          <w:p>
            <w:pPr>
              <w:pStyle w:val="TableContents"/>
              <w:bidi w:val="0"/>
              <w:spacing w:before="0" w:after="283"/>
              <w:jc w:val="left"/>
              <w:rPr/>
            </w:pPr>
            <w:r>
              <w:rPr/>
              <w:t>  </w:t>
            </w:r>
          </w:p>
        </w:tc>
        <w:tc>
          <w:tcPr>
            <w:tcW w:w="2496" w:type="dxa"/>
            <w:tcBorders/>
          </w:tcPr>
          <w:p>
            <w:pPr>
              <w:pStyle w:val="TableContents"/>
              <w:bidi w:val="0"/>
              <w:spacing w:before="0" w:after="283"/>
              <w:jc w:val="left"/>
              <w:rPr/>
            </w:pPr>
            <w:r>
              <w:rPr/>
              <w:t>Orange County</w:t>
            </w:r>
          </w:p>
        </w:tc>
      </w:tr>
      <w:tr>
        <w:trPr/>
        <w:tc>
          <w:tcPr>
            <w:tcW w:w="5635"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780" w:type="dxa"/>
            <w:tcBorders/>
          </w:tcPr>
          <w:p>
            <w:pPr>
              <w:pStyle w:val="TableContents"/>
              <w:bidi w:val="0"/>
              <w:spacing w:before="0" w:after="283"/>
              <w:jc w:val="left"/>
              <w:rPr/>
            </w:pPr>
            <w:r>
              <w:rPr/>
              <w:t>Chicago</w:t>
            </w:r>
          </w:p>
        </w:tc>
        <w:tc>
          <w:tcPr>
            <w:tcW w:w="165" w:type="dxa"/>
            <w:tcBorders/>
            <w:vAlign w:val="bottom"/>
          </w:tcPr>
          <w:p>
            <w:pPr>
              <w:pStyle w:val="TableContents"/>
              <w:bidi w:val="0"/>
              <w:spacing w:before="0" w:after="283"/>
              <w:jc w:val="left"/>
              <w:rPr/>
            </w:pPr>
            <w:r>
              <w:rPr/>
              <w:t>  </w:t>
            </w:r>
          </w:p>
        </w:tc>
        <w:tc>
          <w:tcPr>
            <w:tcW w:w="2496" w:type="dxa"/>
            <w:tcBorders/>
          </w:tcPr>
          <w:p>
            <w:pPr>
              <w:pStyle w:val="TableContents"/>
              <w:bidi w:val="0"/>
              <w:spacing w:before="0" w:after="283"/>
              <w:jc w:val="left"/>
              <w:rPr/>
            </w:pPr>
            <w:r>
              <w:rPr/>
              <w:t>Paris</w:t>
            </w:r>
          </w:p>
        </w:tc>
      </w:tr>
      <w:tr>
        <w:trPr/>
        <w:tc>
          <w:tcPr>
            <w:tcW w:w="5635"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780" w:type="dxa"/>
            <w:tcBorders/>
          </w:tcPr>
          <w:p>
            <w:pPr>
              <w:pStyle w:val="TableContents"/>
              <w:bidi w:val="0"/>
              <w:spacing w:before="0" w:after="283"/>
              <w:jc w:val="left"/>
              <w:rPr/>
            </w:pPr>
            <w:r>
              <w:rPr/>
              <w:t>Dubai</w:t>
            </w:r>
          </w:p>
        </w:tc>
        <w:tc>
          <w:tcPr>
            <w:tcW w:w="165" w:type="dxa"/>
            <w:tcBorders/>
            <w:vAlign w:val="bottom"/>
          </w:tcPr>
          <w:p>
            <w:pPr>
              <w:pStyle w:val="TableContents"/>
              <w:bidi w:val="0"/>
              <w:spacing w:before="0" w:after="283"/>
              <w:jc w:val="left"/>
              <w:rPr/>
            </w:pPr>
            <w:r>
              <w:rPr/>
              <w:t>  </w:t>
            </w:r>
          </w:p>
        </w:tc>
        <w:tc>
          <w:tcPr>
            <w:tcW w:w="2496" w:type="dxa"/>
            <w:tcBorders/>
          </w:tcPr>
          <w:p>
            <w:pPr>
              <w:pStyle w:val="TableContents"/>
              <w:bidi w:val="0"/>
              <w:spacing w:before="0" w:after="283"/>
              <w:jc w:val="left"/>
              <w:rPr/>
            </w:pPr>
            <w:r>
              <w:rPr/>
              <w:t>Riyadh</w:t>
            </w:r>
          </w:p>
        </w:tc>
      </w:tr>
      <w:tr>
        <w:trPr/>
        <w:tc>
          <w:tcPr>
            <w:tcW w:w="5635" w:type="dxa"/>
            <w:tcBorders/>
          </w:tcPr>
          <w:p>
            <w:pPr>
              <w:pStyle w:val="TableContents"/>
              <w:bidi w:val="0"/>
              <w:spacing w:before="0" w:after="283"/>
              <w:jc w:val="left"/>
              <w:rPr/>
            </w:pPr>
            <w:r>
              <w:rPr/>
              <w:t>July 6, 2026</w:t>
            </w:r>
          </w:p>
        </w:tc>
        <w:tc>
          <w:tcPr>
            <w:tcW w:w="129" w:type="dxa"/>
            <w:tcBorders/>
            <w:vAlign w:val="bottom"/>
          </w:tcPr>
          <w:p>
            <w:pPr>
              <w:pStyle w:val="TableContents"/>
              <w:bidi w:val="0"/>
              <w:spacing w:before="0" w:after="283"/>
              <w:jc w:val="left"/>
              <w:rPr/>
            </w:pPr>
            <w:r>
              <w:rPr/>
              <w:t>  </w:t>
            </w:r>
          </w:p>
        </w:tc>
        <w:tc>
          <w:tcPr>
            <w:tcW w:w="1780" w:type="dxa"/>
            <w:tcBorders/>
          </w:tcPr>
          <w:p>
            <w:pPr>
              <w:pStyle w:val="TableContents"/>
              <w:bidi w:val="0"/>
              <w:spacing w:before="0" w:after="283"/>
              <w:jc w:val="left"/>
              <w:rPr/>
            </w:pPr>
            <w:r>
              <w:rPr/>
              <w:t>Düsseldorf</w:t>
            </w:r>
          </w:p>
        </w:tc>
        <w:tc>
          <w:tcPr>
            <w:tcW w:w="165" w:type="dxa"/>
            <w:tcBorders/>
            <w:vAlign w:val="bottom"/>
          </w:tcPr>
          <w:p>
            <w:pPr>
              <w:pStyle w:val="TableContents"/>
              <w:bidi w:val="0"/>
              <w:spacing w:before="0" w:after="283"/>
              <w:jc w:val="left"/>
              <w:rPr/>
            </w:pPr>
            <w:r>
              <w:rPr/>
              <w:t>  </w:t>
            </w:r>
          </w:p>
        </w:tc>
        <w:tc>
          <w:tcPr>
            <w:tcW w:w="2496" w:type="dxa"/>
            <w:tcBorders/>
          </w:tcPr>
          <w:p>
            <w:pPr>
              <w:pStyle w:val="TableContents"/>
              <w:bidi w:val="0"/>
              <w:spacing w:before="0" w:after="283"/>
              <w:jc w:val="left"/>
              <w:rPr/>
            </w:pPr>
            <w:r>
              <w:rPr/>
              <w:t>San Diego</w:t>
            </w:r>
          </w:p>
        </w:tc>
      </w:tr>
      <w:tr>
        <w:trPr/>
        <w:tc>
          <w:tcPr>
            <w:tcW w:w="5635"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780" w:type="dxa"/>
            <w:tcBorders/>
          </w:tcPr>
          <w:p>
            <w:pPr>
              <w:pStyle w:val="TableContents"/>
              <w:bidi w:val="0"/>
              <w:spacing w:before="0" w:after="283"/>
              <w:jc w:val="left"/>
              <w:rPr/>
            </w:pPr>
            <w:r>
              <w:rPr/>
              <w:t>Frankfurt</w:t>
            </w:r>
          </w:p>
        </w:tc>
        <w:tc>
          <w:tcPr>
            <w:tcW w:w="165" w:type="dxa"/>
            <w:tcBorders/>
            <w:vAlign w:val="bottom"/>
          </w:tcPr>
          <w:p>
            <w:pPr>
              <w:pStyle w:val="TableContents"/>
              <w:bidi w:val="0"/>
              <w:spacing w:before="0" w:after="283"/>
              <w:jc w:val="left"/>
              <w:rPr/>
            </w:pPr>
            <w:r>
              <w:rPr/>
              <w:t>  </w:t>
            </w:r>
          </w:p>
        </w:tc>
        <w:tc>
          <w:tcPr>
            <w:tcW w:w="2496" w:type="dxa"/>
            <w:tcBorders/>
          </w:tcPr>
          <w:p>
            <w:pPr>
              <w:pStyle w:val="TableContents"/>
              <w:bidi w:val="0"/>
              <w:spacing w:before="0" w:after="283"/>
              <w:jc w:val="left"/>
              <w:rPr/>
            </w:pPr>
            <w:r>
              <w:rPr/>
              <w:t>San Francisco</w:t>
            </w:r>
          </w:p>
        </w:tc>
      </w:tr>
      <w:tr>
        <w:trPr/>
        <w:tc>
          <w:tcPr>
            <w:tcW w:w="5635"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780" w:type="dxa"/>
            <w:tcBorders/>
          </w:tcPr>
          <w:p>
            <w:pPr>
              <w:pStyle w:val="TableContents"/>
              <w:bidi w:val="0"/>
              <w:spacing w:before="0" w:after="283"/>
              <w:jc w:val="left"/>
              <w:rPr/>
            </w:pPr>
            <w:r>
              <w:rPr/>
              <w:t>Hamburg</w:t>
            </w:r>
          </w:p>
        </w:tc>
        <w:tc>
          <w:tcPr>
            <w:tcW w:w="165" w:type="dxa"/>
            <w:tcBorders/>
            <w:vAlign w:val="bottom"/>
          </w:tcPr>
          <w:p>
            <w:pPr>
              <w:pStyle w:val="TableContents"/>
              <w:bidi w:val="0"/>
              <w:spacing w:before="0" w:after="283"/>
              <w:jc w:val="left"/>
              <w:rPr/>
            </w:pPr>
            <w:r>
              <w:rPr/>
              <w:t>  </w:t>
            </w:r>
          </w:p>
        </w:tc>
        <w:tc>
          <w:tcPr>
            <w:tcW w:w="2496" w:type="dxa"/>
            <w:tcBorders/>
          </w:tcPr>
          <w:p>
            <w:pPr>
              <w:pStyle w:val="TableContents"/>
              <w:bidi w:val="0"/>
              <w:spacing w:before="0" w:after="283"/>
              <w:jc w:val="left"/>
              <w:rPr/>
            </w:pPr>
            <w:r>
              <w:rPr/>
              <w:t>Seoul</w:t>
            </w:r>
          </w:p>
        </w:tc>
      </w:tr>
      <w:tr>
        <w:trPr/>
        <w:tc>
          <w:tcPr>
            <w:tcW w:w="5635"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780" w:type="dxa"/>
            <w:tcBorders/>
          </w:tcPr>
          <w:p>
            <w:pPr>
              <w:pStyle w:val="TableContents"/>
              <w:bidi w:val="0"/>
              <w:spacing w:before="0" w:after="283"/>
              <w:jc w:val="left"/>
              <w:rPr/>
            </w:pPr>
            <w:r>
              <w:rPr/>
              <w:t>Hong Kong</w:t>
            </w:r>
          </w:p>
        </w:tc>
        <w:tc>
          <w:tcPr>
            <w:tcW w:w="165" w:type="dxa"/>
            <w:tcBorders/>
            <w:vAlign w:val="bottom"/>
          </w:tcPr>
          <w:p>
            <w:pPr>
              <w:pStyle w:val="TableContents"/>
              <w:bidi w:val="0"/>
              <w:spacing w:before="0" w:after="283"/>
              <w:jc w:val="left"/>
              <w:rPr/>
            </w:pPr>
            <w:r>
              <w:rPr/>
              <w:t>  </w:t>
            </w:r>
          </w:p>
        </w:tc>
        <w:tc>
          <w:tcPr>
            <w:tcW w:w="2496" w:type="dxa"/>
            <w:tcBorders/>
          </w:tcPr>
          <w:p>
            <w:pPr>
              <w:pStyle w:val="TableContents"/>
              <w:bidi w:val="0"/>
              <w:spacing w:before="0" w:after="283"/>
              <w:jc w:val="left"/>
              <w:rPr/>
            </w:pPr>
            <w:r>
              <w:rPr/>
              <w:t>Silicon Valley</w:t>
            </w:r>
          </w:p>
        </w:tc>
      </w:tr>
      <w:tr>
        <w:trPr/>
        <w:tc>
          <w:tcPr>
            <w:tcW w:w="5635"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780" w:type="dxa"/>
            <w:tcBorders/>
          </w:tcPr>
          <w:p>
            <w:pPr>
              <w:pStyle w:val="TableContents"/>
              <w:bidi w:val="0"/>
              <w:spacing w:before="0" w:after="283"/>
              <w:jc w:val="left"/>
              <w:rPr/>
            </w:pPr>
            <w:r>
              <w:rPr/>
              <w:t>Houston</w:t>
            </w:r>
          </w:p>
        </w:tc>
        <w:tc>
          <w:tcPr>
            <w:tcW w:w="165" w:type="dxa"/>
            <w:tcBorders/>
            <w:vAlign w:val="bottom"/>
          </w:tcPr>
          <w:p>
            <w:pPr>
              <w:pStyle w:val="TableContents"/>
              <w:bidi w:val="0"/>
              <w:spacing w:before="0" w:after="283"/>
              <w:jc w:val="left"/>
              <w:rPr/>
            </w:pPr>
            <w:r>
              <w:rPr/>
              <w:t>  </w:t>
            </w:r>
          </w:p>
        </w:tc>
        <w:tc>
          <w:tcPr>
            <w:tcW w:w="2496" w:type="dxa"/>
            <w:tcBorders/>
          </w:tcPr>
          <w:p>
            <w:pPr>
              <w:pStyle w:val="TableContents"/>
              <w:bidi w:val="0"/>
              <w:spacing w:before="0" w:after="283"/>
              <w:jc w:val="left"/>
              <w:rPr/>
            </w:pPr>
            <w:r>
              <w:rPr/>
              <w:t>Singapore</w:t>
            </w:r>
          </w:p>
        </w:tc>
      </w:tr>
      <w:tr>
        <w:trPr/>
        <w:tc>
          <w:tcPr>
            <w:tcW w:w="5635"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780" w:type="dxa"/>
            <w:tcBorders/>
          </w:tcPr>
          <w:p>
            <w:pPr>
              <w:pStyle w:val="TableContents"/>
              <w:bidi w:val="0"/>
              <w:spacing w:before="0" w:after="283"/>
              <w:jc w:val="left"/>
              <w:rPr/>
            </w:pPr>
            <w:r>
              <w:rPr/>
              <w:t>London</w:t>
            </w:r>
          </w:p>
        </w:tc>
        <w:tc>
          <w:tcPr>
            <w:tcW w:w="165" w:type="dxa"/>
            <w:tcBorders/>
            <w:vAlign w:val="bottom"/>
          </w:tcPr>
          <w:p>
            <w:pPr>
              <w:pStyle w:val="TableContents"/>
              <w:bidi w:val="0"/>
              <w:spacing w:before="0" w:after="283"/>
              <w:jc w:val="left"/>
              <w:rPr/>
            </w:pPr>
            <w:r>
              <w:rPr/>
              <w:t>  </w:t>
            </w:r>
          </w:p>
        </w:tc>
        <w:tc>
          <w:tcPr>
            <w:tcW w:w="2496" w:type="dxa"/>
            <w:tcBorders/>
          </w:tcPr>
          <w:p>
            <w:pPr>
              <w:pStyle w:val="TableContents"/>
              <w:bidi w:val="0"/>
              <w:spacing w:before="0" w:after="283"/>
              <w:jc w:val="left"/>
              <w:rPr/>
            </w:pPr>
            <w:r>
              <w:rPr/>
              <w:t>Tel Aviv</w:t>
            </w:r>
          </w:p>
        </w:tc>
      </w:tr>
      <w:tr>
        <w:trPr/>
        <w:tc>
          <w:tcPr>
            <w:tcW w:w="5635"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780" w:type="dxa"/>
            <w:tcBorders/>
          </w:tcPr>
          <w:p>
            <w:pPr>
              <w:pStyle w:val="TableContents"/>
              <w:bidi w:val="0"/>
              <w:spacing w:before="0" w:after="283"/>
              <w:jc w:val="left"/>
              <w:rPr/>
            </w:pPr>
            <w:r>
              <w:rPr/>
              <w:t>Los Angeles</w:t>
            </w:r>
          </w:p>
        </w:tc>
        <w:tc>
          <w:tcPr>
            <w:tcW w:w="165" w:type="dxa"/>
            <w:tcBorders/>
            <w:vAlign w:val="bottom"/>
          </w:tcPr>
          <w:p>
            <w:pPr>
              <w:pStyle w:val="TableContents"/>
              <w:bidi w:val="0"/>
              <w:spacing w:before="0" w:after="283"/>
              <w:jc w:val="left"/>
              <w:rPr/>
            </w:pPr>
            <w:r>
              <w:rPr/>
              <w:t>  </w:t>
            </w:r>
          </w:p>
        </w:tc>
        <w:tc>
          <w:tcPr>
            <w:tcW w:w="2496" w:type="dxa"/>
            <w:tcBorders/>
          </w:tcPr>
          <w:p>
            <w:pPr>
              <w:pStyle w:val="TableContents"/>
              <w:bidi w:val="0"/>
              <w:spacing w:before="0" w:after="283"/>
              <w:jc w:val="left"/>
              <w:rPr/>
            </w:pPr>
            <w:r>
              <w:rPr/>
              <w:t>Tokyo</w:t>
            </w:r>
          </w:p>
        </w:tc>
      </w:tr>
      <w:tr>
        <w:trPr/>
        <w:tc>
          <w:tcPr>
            <w:tcW w:w="5635"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780" w:type="dxa"/>
            <w:tcBorders/>
          </w:tcPr>
          <w:p>
            <w:pPr>
              <w:pStyle w:val="TableContents"/>
              <w:bidi w:val="0"/>
              <w:spacing w:before="0" w:after="283"/>
              <w:jc w:val="left"/>
              <w:rPr/>
            </w:pPr>
            <w:r>
              <w:rPr/>
              <w:t>Madrid</w:t>
            </w:r>
          </w:p>
        </w:tc>
        <w:tc>
          <w:tcPr>
            <w:tcW w:w="165" w:type="dxa"/>
            <w:tcBorders/>
            <w:vAlign w:val="bottom"/>
          </w:tcPr>
          <w:p>
            <w:pPr>
              <w:pStyle w:val="TableContents"/>
              <w:bidi w:val="0"/>
              <w:spacing w:before="0" w:after="283"/>
              <w:jc w:val="left"/>
              <w:rPr/>
            </w:pPr>
            <w:r>
              <w:rPr/>
              <w:t>  </w:t>
            </w:r>
          </w:p>
        </w:tc>
        <w:tc>
          <w:tcPr>
            <w:tcW w:w="2496" w:type="dxa"/>
            <w:tcBorders/>
          </w:tcPr>
          <w:p>
            <w:pPr>
              <w:pStyle w:val="TableContents"/>
              <w:bidi w:val="0"/>
              <w:spacing w:before="0" w:after="283"/>
              <w:jc w:val="left"/>
              <w:rPr/>
            </w:pPr>
            <w:r>
              <w:rPr/>
              <w:t>Washington, D.C.</w:t>
            </w:r>
          </w:p>
        </w:tc>
      </w:tr>
    </w:tbl>
    <w:p>
      <w:pPr>
        <w:pStyle w:val="TextBody"/>
        <w:bidi w:val="0"/>
        <w:spacing w:before="240" w:after="0"/>
        <w:jc w:val="left"/>
        <w:rPr>
          <w:rFonts w:ascii="Times New Roman" w:hAnsi="Times New Roman"/>
          <w:sz w:val="20"/>
        </w:rPr>
      </w:pPr>
      <w:r>
        <w:rPr>
          <w:rFonts w:ascii="Times New Roman" w:hAnsi="Times New Roman"/>
          <w:sz w:val="20"/>
        </w:rPr>
        <w:t xml:space="preserve">Ouster, Inc. </w:t>
      </w:r>
    </w:p>
    <w:p>
      <w:pPr>
        <w:pStyle w:val="TextBody"/>
        <w:bidi w:val="0"/>
        <w:spacing w:before="0" w:after="0"/>
        <w:jc w:val="left"/>
        <w:rPr>
          <w:rFonts w:ascii="Times New Roman" w:hAnsi="Times New Roman"/>
          <w:sz w:val="20"/>
        </w:rPr>
      </w:pPr>
      <w:r>
        <w:rPr>
          <w:rFonts w:ascii="Times New Roman" w:hAnsi="Times New Roman"/>
          <w:sz w:val="20"/>
        </w:rPr>
        <w:t xml:space="preserve">350 Treat Avenue </w:t>
      </w:r>
    </w:p>
    <w:p>
      <w:pPr>
        <w:pStyle w:val="TextBody"/>
        <w:bidi w:val="0"/>
        <w:spacing w:before="0" w:after="0"/>
        <w:jc w:val="left"/>
        <w:rPr>
          <w:rFonts w:ascii="Times New Roman" w:hAnsi="Times New Roman"/>
          <w:sz w:val="20"/>
        </w:rPr>
      </w:pPr>
      <w:r>
        <w:rPr>
          <w:rFonts w:ascii="Times New Roman" w:hAnsi="Times New Roman"/>
          <w:sz w:val="20"/>
        </w:rPr>
        <w:t xml:space="preserve">San Francisco, CA 94110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Re: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Registration Statement No. 333-297220 on Form S-3; </w:t>
            </w:r>
          </w:p>
        </w:tc>
      </w:tr>
    </w:tbl>
    <w:p>
      <w:pPr>
        <w:pStyle w:val="TextBody"/>
        <w:bidi w:val="0"/>
        <w:spacing w:before="0" w:after="0"/>
        <w:jc w:val="left"/>
        <w:rPr>
          <w:rFonts w:ascii="Times New Roman" w:hAnsi="Times New Roman"/>
          <w:sz w:val="20"/>
        </w:rPr>
      </w:pPr>
      <w:r>
        <w:rPr>
          <w:rFonts w:ascii="Times New Roman" w:hAnsi="Times New Roman"/>
          <w:sz w:val="20"/>
        </w:rPr>
        <w:t xml:space="preserve">Up to 4,165,157 Shares of Common Stock, par value $0.0001 per share </w:t>
      </w:r>
    </w:p>
    <w:p>
      <w:pPr>
        <w:pStyle w:val="TextBody"/>
        <w:bidi w:val="0"/>
        <w:spacing w:before="240" w:after="0"/>
        <w:jc w:val="left"/>
        <w:rPr>
          <w:rFonts w:ascii="Times New Roman" w:hAnsi="Times New Roman"/>
          <w:sz w:val="20"/>
        </w:rPr>
      </w:pPr>
      <w:r>
        <w:rPr>
          <w:rFonts w:ascii="Times New Roman" w:hAnsi="Times New Roman"/>
          <w:sz w:val="20"/>
        </w:rPr>
        <w:t xml:space="preserve">To the addressee set forth above: </w:t>
      </w:r>
    </w:p>
    <w:p>
      <w:pPr>
        <w:pStyle w:val="TextBody"/>
        <w:bidi w:val="0"/>
        <w:spacing w:before="120" w:after="0"/>
        <w:jc w:val="left"/>
        <w:rPr>
          <w:rFonts w:ascii="Times New Roman" w:hAnsi="Times New Roman"/>
          <w:sz w:val="20"/>
        </w:rPr>
      </w:pPr>
      <w:r>
        <w:rPr>
          <w:rFonts w:ascii="Times New Roman" w:hAnsi="Times New Roman"/>
          <w:sz w:val="20"/>
        </w:rPr>
        <w:t>We have acted as special counsel to Ouster, Inc., a Delaware corporation (the “</w:t>
      </w:r>
      <w:r>
        <w:rPr>
          <w:rFonts w:ascii="Times New Roman" w:hAnsi="Times New Roman"/>
          <w:b/>
          <w:i/>
          <w:sz w:val="20"/>
        </w:rPr>
        <w:t>Company</w:t>
      </w:r>
      <w:r>
        <w:rPr>
          <w:rFonts w:ascii="Times New Roman" w:hAnsi="Times New Roman"/>
          <w:sz w:val="20"/>
        </w:rPr>
        <w:t>”), in connection with the proposed issuance of up to 4,165,157 shares of common stock of the Company, par value $0.0001 per share (the “</w:t>
      </w:r>
      <w:r>
        <w:rPr>
          <w:rFonts w:ascii="Times New Roman" w:hAnsi="Times New Roman"/>
          <w:b/>
          <w:i/>
          <w:sz w:val="20"/>
        </w:rPr>
        <w:t>Shares</w:t>
      </w:r>
      <w:r>
        <w:rPr>
          <w:rFonts w:ascii="Times New Roman" w:hAnsi="Times New Roman"/>
          <w:sz w:val="20"/>
        </w:rPr>
        <w:t>”). The Shares are included in a registration statement on Form S-3 under the Securities Act of 1933, as amended (the “</w:t>
      </w:r>
      <w:r>
        <w:rPr>
          <w:rFonts w:ascii="Times New Roman" w:hAnsi="Times New Roman"/>
          <w:b/>
          <w:i/>
          <w:sz w:val="20"/>
        </w:rPr>
        <w:t>Act</w:t>
      </w:r>
      <w:r>
        <w:rPr>
          <w:rFonts w:ascii="Times New Roman" w:hAnsi="Times New Roman"/>
          <w:sz w:val="20"/>
        </w:rPr>
        <w:t>”), filed with the Securities and Exchange Commission (the “</w:t>
      </w:r>
      <w:r>
        <w:rPr>
          <w:rFonts w:ascii="Times New Roman" w:hAnsi="Times New Roman"/>
          <w:b/>
          <w:i/>
          <w:sz w:val="20"/>
        </w:rPr>
        <w:t>Commission</w:t>
      </w:r>
      <w:r>
        <w:rPr>
          <w:rFonts w:ascii="Times New Roman" w:hAnsi="Times New Roman"/>
          <w:sz w:val="20"/>
        </w:rPr>
        <w:t>”) on July 2, 2026 (Registration No. 333-297220) (as so filed and as amended, the “</w:t>
      </w:r>
      <w:r>
        <w:rPr>
          <w:rFonts w:ascii="Times New Roman" w:hAnsi="Times New Roman"/>
          <w:b/>
          <w:i/>
          <w:sz w:val="20"/>
        </w:rPr>
        <w:t>Registration Statement</w:t>
      </w:r>
      <w:r>
        <w:rPr>
          <w:rFonts w:ascii="Times New Roman" w:hAnsi="Times New Roman"/>
          <w:sz w:val="20"/>
        </w:rPr>
        <w:t>”), a base prospectus dated July 1, 2026 included in the Registration Statement (the “</w:t>
      </w:r>
      <w:r>
        <w:rPr>
          <w:rFonts w:ascii="Times New Roman" w:hAnsi="Times New Roman"/>
          <w:b/>
          <w:i/>
          <w:sz w:val="20"/>
        </w:rPr>
        <w:t>Base Prospectus</w:t>
      </w:r>
      <w:r>
        <w:rPr>
          <w:rFonts w:ascii="Times New Roman" w:hAnsi="Times New Roman"/>
          <w:sz w:val="20"/>
        </w:rPr>
        <w:t>”), a preliminary prospectus supplement dated July 2, 2026 filed with the Commission pursuant to Rule 424(b) under the Act (together with the Base Prospectus, the “</w:t>
      </w:r>
      <w:r>
        <w:rPr>
          <w:rFonts w:ascii="Times New Roman" w:hAnsi="Times New Roman"/>
          <w:b/>
          <w:i/>
          <w:sz w:val="20"/>
        </w:rPr>
        <w:t>Preliminary Prospectus</w:t>
      </w:r>
      <w:r>
        <w:rPr>
          <w:rFonts w:ascii="Times New Roman" w:hAnsi="Times New Roman"/>
          <w:sz w:val="20"/>
        </w:rPr>
        <w:t>”), and a prospectus supplement dated July 2, 2026 filed with the Commission pursuant to Rule 424(b) under the Act (together with the Base Prospectus, the “</w:t>
      </w:r>
      <w:r>
        <w:rPr>
          <w:rFonts w:ascii="Times New Roman" w:hAnsi="Times New Roman"/>
          <w:b/>
          <w:i/>
          <w:sz w:val="20"/>
        </w:rPr>
        <w:t>Prospectus</w:t>
      </w:r>
      <w:r>
        <w:rPr>
          <w:rFonts w:ascii="Times New Roman" w:hAnsi="Times New Roman"/>
          <w:sz w:val="20"/>
        </w:rPr>
        <w:t>”), and an underwriting agreement dated July 2, 2026, between Northland Securities, Inc. and the Company (the “</w:t>
      </w:r>
      <w:r>
        <w:rPr>
          <w:rFonts w:ascii="Times New Roman" w:hAnsi="Times New Roman"/>
          <w:b/>
          <w:i/>
          <w:sz w:val="20"/>
        </w:rPr>
        <w:t>Underwriting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being furnished in connection with the requirements of Item 601(b)(5) of Regulation S-K under the Act, and no opinion is expressed herein as to any matter pertaining to the contents of the Registration Statement or the Prospectus, other than as expressly stated herein with respect to the issue of the Shares.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July 6, 2026 </w:t>
      </w:r>
    </w:p>
    <w:p>
      <w:pPr>
        <w:pStyle w:val="TextBody"/>
        <w:bidi w:val="0"/>
        <w:spacing w:before="0" w:after="0"/>
        <w:jc w:val="left"/>
        <w:rPr>
          <w:rFonts w:ascii="Times New Roman" w:hAnsi="Times New Roman"/>
          <w:b/>
          <w:sz w:val="20"/>
        </w:rPr>
      </w:pPr>
      <w:r>
        <w:rPr>
          <w:rFonts w:ascii="Times New Roman" w:hAnsi="Times New Roman"/>
          <w:b/>
          <w:sz w:val="20"/>
        </w:rPr>
        <w:t xml:space="preserve">Page 2 </w:t>
      </w:r>
    </w:p>
    <w:p>
      <w:pPr>
        <w:pStyle w:val="TextBody"/>
        <w:bidi w:val="0"/>
        <w:spacing w:before="0" w:after="0"/>
        <w:jc w:val="left"/>
        <w:rPr/>
      </w:pPr>
      <w:r>
        <w:rPr/>
        <w:t> </w:t>
      </w:r>
    </w:p>
    <w:p>
      <w:pPr>
        <w:pStyle w:val="TextBody"/>
        <w:bidi w:val="0"/>
        <w:spacing w:before="0" w:after="0"/>
        <w:jc w:val="left"/>
        <w:rPr/>
      </w:pPr>
      <w:r>
        <w:rPr/>
        <w:drawing>
          <wp:inline distT="0" distB="0" distL="0" distR="0">
            <wp:extent cx="1828800" cy="1619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28800" cy="1619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(the “</w:t>
      </w:r>
      <w:r>
        <w:rPr>
          <w:rFonts w:ascii="Times New Roman" w:hAnsi="Times New Roman"/>
          <w:b/>
          <w:i/>
          <w:sz w:val="20"/>
        </w:rPr>
        <w:t>DGCL</w:t>
      </w:r>
      <w:r>
        <w:rPr>
          <w:rFonts w:ascii="Times New Roman" w:hAnsi="Times New Roman"/>
          <w:sz w:val="20"/>
        </w:rPr>
        <w:t xml:space="preserve">”), and we express no opinion with respect to any other laws.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foregoing and the other matters set forth herein, it is our opinion that, as of the date hereof, when the Shares shall have been duly registered on the books of the transfer agent and registrar therefor in the name or on behalf of the purchasers, and have been issued by the Company against payment therefor in the circumstances contemplated by the Underwriting Agreement, the issue and sale of the Shares will have been duly authorized by all necessary corporate action of the Company and the Shares will be validly issued, fully paid and non-assessable. In rendering the foregoing opinion, we have assumed that the Company will comply with all applicable notice requirements regarding uncertificated shares provided in the DGCL.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for your benefit in connection with the Registration Statement and may be relied upon by you and by persons entitled to rely upon it pursuant to the applicable provisions of the Act. We consent to your filing this opinion as an exhibit to the Company’s Current Report on Form 8-K dated July 6, 2026 and to the reference to our firm in the Prospectus under the heading “Legal matters.” In giving such consent, we do not thereby admit that we are in the category of persons whose consent is required under Section 7 of the Act or the rules and regulations of the Commission thereunder.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Sincerely,</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Latham &amp; Watkins LLP</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48</Pages>
  <Words>21460</Words>
  <Characters>114202</Characters>
  <CharactersWithSpaces>135734</CharactersWithSpaces>
  <Paragraphs>580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EX-5.1</dc:title>
</cp:coreProperties>
</file>