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Colonnade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Class A Ordinary Shares,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G2283K110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1000" w:right="9020" w:hanging="283"/>
        <w:spacing w:after="0" w:line="274" w:lineRule="auto"/>
        <w:tabs>
          <w:tab w:leader="none" w:pos="100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Rule 13d-1(c) Rule 13d-1(d)</w:t>
      </w:r>
    </w:p>
    <w:p>
      <w:pPr>
        <w:spacing w:after="0" w:line="1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9" w:lineRule="exact"/>
        <w:rPr>
          <w:sz w:val="24"/>
          <w:szCs w:val="24"/>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54"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Times New Roman" w:cs="Times New Roman" w:eastAsia="Times New Roman" w:hAnsi="Times New Roman"/>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73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Glazer Capital, LLC</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7320" w:type="dxa"/>
            <w:vAlign w:val="bottom"/>
            <w:tcBorders>
              <w:bottom w:val="single" w:sz="8" w:color="auto"/>
            </w:tcBorders>
            <w:gridSpan w:val="2"/>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2</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100" w:type="dxa"/>
            <w:vAlign w:val="bottom"/>
            <w:tcBorders>
              <w:right w:val="single" w:sz="8" w:color="auto"/>
            </w:tcBorders>
          </w:tcPr>
          <w:p>
            <w:pPr>
              <w:ind w:left="86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70"/>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8"/>
                <w:szCs w:val="28"/>
                <w:color w:val="auto"/>
              </w:rPr>
              <w:t>ý</w:t>
            </w:r>
          </w:p>
        </w:tc>
        <w:tc>
          <w:tcPr>
            <w:tcW w:w="0" w:type="dxa"/>
            <w:vAlign w:val="bottom"/>
          </w:tcPr>
          <w:p>
            <w:pPr>
              <w:spacing w:after="0"/>
              <w:rPr>
                <w:sz w:val="1"/>
                <w:szCs w:val="1"/>
                <w:color w:val="auto"/>
              </w:rPr>
            </w:pPr>
          </w:p>
        </w:tc>
      </w:tr>
      <w:tr>
        <w:trPr>
          <w:trHeight w:val="406"/>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3</w:t>
            </w:r>
          </w:p>
        </w:tc>
        <w:tc>
          <w:tcPr>
            <w:tcW w:w="1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4</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73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State of Delaware</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5</w:t>
            </w:r>
          </w:p>
        </w:tc>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Times New Roman" w:cs="Times New Roman" w:eastAsia="Times New Roman" w:hAnsi="Times New Roman"/>
                <w:sz w:val="29"/>
                <w:szCs w:val="29"/>
                <w:b w:val="1"/>
                <w:bCs w:val="1"/>
                <w:color w:val="auto"/>
                <w:w w:val="82"/>
              </w:rPr>
              <w:t>6</w:t>
            </w:r>
          </w:p>
        </w:tc>
        <w:tc>
          <w:tcPr>
            <w:tcW w:w="58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1480" w:type="dxa"/>
            <w:vAlign w:val="bottom"/>
            <w:tcBorders>
              <w:right w:val="single" w:sz="8" w:color="auto"/>
            </w:tcBorders>
            <w:vMerge w:val="continue"/>
          </w:tcPr>
          <w:p>
            <w:pPr>
              <w:spacing w:after="0"/>
              <w:rPr>
                <w:sz w:val="14"/>
                <w:szCs w:val="14"/>
                <w:color w:val="auto"/>
              </w:rPr>
            </w:pPr>
          </w:p>
        </w:tc>
        <w:tc>
          <w:tcPr>
            <w:tcW w:w="5840" w:type="dxa"/>
            <w:vAlign w:val="bottom"/>
            <w:vMerge w:val="continue"/>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2,499,900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7</w:t>
            </w:r>
          </w:p>
        </w:tc>
        <w:tc>
          <w:tcPr>
            <w:tcW w:w="58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8</w:t>
            </w:r>
          </w:p>
        </w:tc>
        <w:tc>
          <w:tcPr>
            <w:tcW w:w="58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2,499,900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9</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2,499,900</w:t>
            </w:r>
          </w:p>
        </w:tc>
        <w:tc>
          <w:tcPr>
            <w:tcW w:w="58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10</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00" w:type="dxa"/>
            <w:vAlign w:val="bottom"/>
            <w:tcBorders>
              <w:right w:val="single" w:sz="8" w:color="auto"/>
            </w:tcBorders>
          </w:tcPr>
          <w:p>
            <w:pPr>
              <w:ind w:left="96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11</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12.5%</w:t>
            </w:r>
          </w:p>
        </w:tc>
        <w:tc>
          <w:tcPr>
            <w:tcW w:w="58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12</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OO</w:t>
            </w:r>
          </w:p>
        </w:tc>
        <w:tc>
          <w:tcPr>
            <w:tcW w:w="58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Times New Roman" w:cs="Times New Roman" w:eastAsia="Times New Roman" w:hAnsi="Times New Roman"/>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Paul J. Glazer</w:t>
            </w:r>
          </w:p>
        </w:tc>
        <w:tc>
          <w:tcPr>
            <w:tcW w:w="57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7320" w:type="dxa"/>
            <w:vAlign w:val="bottom"/>
            <w:tcBorders>
              <w:bottom w:val="single" w:sz="8" w:color="auto"/>
            </w:tcBorders>
            <w:gridSpan w:val="3"/>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2</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100" w:type="dxa"/>
            <w:vAlign w:val="bottom"/>
            <w:tcBorders>
              <w:right w:val="single" w:sz="8" w:color="auto"/>
            </w:tcBorders>
          </w:tcPr>
          <w:p>
            <w:pPr>
              <w:ind w:left="86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70"/>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8"/>
                <w:szCs w:val="28"/>
                <w:color w:val="auto"/>
              </w:rPr>
              <w:t>ý</w:t>
            </w:r>
          </w:p>
        </w:tc>
        <w:tc>
          <w:tcPr>
            <w:tcW w:w="0" w:type="dxa"/>
            <w:vAlign w:val="bottom"/>
          </w:tcPr>
          <w:p>
            <w:pPr>
              <w:spacing w:after="0"/>
              <w:rPr>
                <w:sz w:val="1"/>
                <w:szCs w:val="1"/>
                <w:color w:val="auto"/>
              </w:rPr>
            </w:pPr>
          </w:p>
        </w:tc>
      </w:tr>
      <w:tr>
        <w:trPr>
          <w:trHeight w:val="406"/>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3</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4</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United States</w:t>
            </w:r>
          </w:p>
        </w:tc>
        <w:tc>
          <w:tcPr>
            <w:tcW w:w="57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Times New Roman" w:cs="Times New Roman" w:eastAsia="Times New Roman" w:hAnsi="Times New Roman"/>
                <w:sz w:val="29"/>
                <w:szCs w:val="29"/>
                <w:b w:val="1"/>
                <w:bCs w:val="1"/>
                <w:color w:val="auto"/>
                <w:w w:val="82"/>
              </w:rPr>
              <w:t>6</w:t>
            </w:r>
          </w:p>
        </w:tc>
        <w:tc>
          <w:tcPr>
            <w:tcW w:w="80" w:type="dxa"/>
            <w:vAlign w:val="bottom"/>
          </w:tcPr>
          <w:p>
            <w:pPr>
              <w:spacing w:after="0"/>
              <w:rPr>
                <w:sz w:val="8"/>
                <w:szCs w:val="8"/>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14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vMerge w:val="continue"/>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2,499,900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7</w:t>
            </w:r>
          </w:p>
        </w:tc>
        <w:tc>
          <w:tcPr>
            <w:tcW w:w="80" w:type="dxa"/>
            <w:vAlign w:val="bottom"/>
          </w:tcPr>
          <w:p>
            <w:pPr>
              <w:spacing w:after="0"/>
              <w:rPr>
                <w:sz w:val="8"/>
                <w:szCs w:val="8"/>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Times New Roman" w:cs="Times New Roman" w:eastAsia="Times New Roman" w:hAnsi="Times New Roman"/>
                <w:sz w:val="28"/>
                <w:szCs w:val="28"/>
                <w:b w:val="1"/>
                <w:bCs w:val="1"/>
                <w:color w:val="auto"/>
                <w:w w:val="85"/>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2,499,900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9</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2,499,900</w:t>
            </w:r>
          </w:p>
        </w:tc>
        <w:tc>
          <w:tcPr>
            <w:tcW w:w="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9"/>
                <w:szCs w:val="29"/>
                <w:b w:val="1"/>
                <w:bCs w:val="1"/>
                <w:color w:val="auto"/>
              </w:rPr>
              <w:t>10</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00" w:type="dxa"/>
            <w:vAlign w:val="bottom"/>
            <w:tcBorders>
              <w:right w:val="single" w:sz="8" w:color="auto"/>
            </w:tcBorders>
          </w:tcPr>
          <w:p>
            <w:pPr>
              <w:ind w:left="96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11</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rPr>
              <w:t>12</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IN</w:t>
            </w:r>
          </w:p>
        </w:tc>
        <w:tc>
          <w:tcPr>
            <w:tcW w:w="57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name of the issuer is Colonnade Acquisition Corp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The Company's principal executive offices are located at 1400 Centrepark Blvd. Ste. 810, West Palm Beach, FL 33401.</w:t>
      </w:r>
    </w:p>
    <w:p>
      <w:pPr>
        <w:spacing w:after="0" w:line="237"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29" w:lineRule="exact"/>
        <w:rPr>
          <w:sz w:val="20"/>
          <w:szCs w:val="20"/>
          <w:color w:val="auto"/>
        </w:rPr>
      </w:pPr>
    </w:p>
    <w:p>
      <w:pPr>
        <w:ind w:left="2160" w:right="380" w:hanging="573"/>
        <w:spacing w:after="0" w:line="254"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Glazer Capital, LLC, a Delaware limited liability company ("</w:t>
      </w:r>
      <w:r>
        <w:rPr>
          <w:rFonts w:ascii="Times New Roman" w:cs="Times New Roman" w:eastAsia="Times New Roman" w:hAnsi="Times New Roman"/>
          <w:sz w:val="20"/>
          <w:szCs w:val="20"/>
          <w:u w:val="single" w:color="auto"/>
          <w:color w:val="auto"/>
        </w:rPr>
        <w:t>Glazer Capital</w:t>
      </w:r>
      <w:r>
        <w:rPr>
          <w:rFonts w:ascii="Times New Roman" w:cs="Times New Roman" w:eastAsia="Times New Roman" w:hAnsi="Times New Roman"/>
          <w:sz w:val="20"/>
          <w:szCs w:val="20"/>
          <w:color w:val="auto"/>
        </w:rPr>
        <w:t>"), with respect to the shares of Common Stock (as defined in Item 2(d)) held by certain funds and managed accounts to which Glazer Capital serves as investment manager (collectively, the "</w:t>
      </w:r>
      <w:r>
        <w:rPr>
          <w:rFonts w:ascii="Times New Roman" w:cs="Times New Roman" w:eastAsia="Times New Roman" w:hAnsi="Times New Roman"/>
          <w:sz w:val="20"/>
          <w:szCs w:val="20"/>
          <w:u w:val="single" w:color="auto"/>
          <w:color w:val="auto"/>
        </w:rPr>
        <w:t>Glazer Funds</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ind w:left="2160" w:right="380" w:hanging="573"/>
        <w:spacing w:after="0" w:line="269"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Paul J. Glazer ("</w:t>
      </w:r>
      <w:r>
        <w:rPr>
          <w:rFonts w:ascii="Times New Roman" w:cs="Times New Roman" w:eastAsia="Times New Roman" w:hAnsi="Times New Roman"/>
          <w:sz w:val="20"/>
          <w:szCs w:val="20"/>
          <w:u w:val="single" w:color="auto"/>
          <w:color w:val="auto"/>
        </w:rPr>
        <w:t>Mr. Glazer</w:t>
      </w:r>
      <w:r>
        <w:rPr>
          <w:rFonts w:ascii="Times New Roman" w:cs="Times New Roman" w:eastAsia="Times New Roman" w:hAnsi="Times New Roman"/>
          <w:sz w:val="20"/>
          <w:szCs w:val="20"/>
          <w:color w:val="auto"/>
        </w:rPr>
        <w:t>"), who serves as the Managing Member of Glazer Capital, with respect to the shares of Common Stock held by the Glazer Funds.</w:t>
      </w:r>
    </w:p>
    <w:p>
      <w:pPr>
        <w:spacing w:after="0" w:line="1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580" w:right="2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Reporting Persons is, for the purposes of Section 13 of the Act, the beneficial owner of the shares of Common Stock reported herein.</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9" w:lineRule="exact"/>
        <w:rPr>
          <w:sz w:val="20"/>
          <w:szCs w:val="20"/>
          <w:color w:val="auto"/>
        </w:rPr>
      </w:pPr>
    </w:p>
    <w:p>
      <w:pPr>
        <w:ind w:left="1800" w:right="420"/>
        <w:spacing w:after="0" w:line="214"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250 West 55</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Street, Suite 30A, New York, New York 10019.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459"/>
        </w:trPr>
        <w:tc>
          <w:tcPr>
            <w:tcW w:w="1260" w:type="dxa"/>
            <w:vAlign w:val="bottom"/>
          </w:tcPr>
          <w:p>
            <w:pPr>
              <w:spacing w:after="0"/>
              <w:rPr>
                <w:sz w:val="24"/>
                <w:szCs w:val="24"/>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Glazer Capital is a Delaware limited partnership. Mr. Glazer is a United Stated citizen.</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Class A Ordinary Shares, $0.0001 par value (the "Common Stock").</w:t>
            </w: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40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G2283K110</w:t>
            </w: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w w:val="99"/>
              </w:rPr>
              <w:t>IF THIS STATEMENT IS FILED PURSUANT TO RULES 13d-1(b) OR 13d-2(b) OR (c), CHECK WHETHER</w:t>
            </w:r>
          </w:p>
        </w:tc>
      </w:tr>
      <w:tr>
        <w:trPr>
          <w:trHeight w:val="262"/>
        </w:trPr>
        <w:tc>
          <w:tcPr>
            <w:tcW w:w="1260" w:type="dxa"/>
            <w:vAlign w:val="bottom"/>
          </w:tcPr>
          <w:p>
            <w:pPr>
              <w:spacing w:after="0"/>
              <w:rPr>
                <w:sz w:val="22"/>
                <w:szCs w:val="22"/>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493"/>
        </w:trPr>
        <w:tc>
          <w:tcPr>
            <w:tcW w:w="126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w:t>
            </w:r>
          </w:p>
        </w:tc>
        <w:tc>
          <w:tcPr>
            <w:tcW w:w="78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r>
      <w:tr>
        <w:trPr>
          <w:trHeight w:val="445"/>
        </w:trPr>
        <w:tc>
          <w:tcPr>
            <w:tcW w:w="126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w:t>
            </w:r>
          </w:p>
        </w:tc>
        <w:tc>
          <w:tcPr>
            <w:tcW w:w="78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r>
    </w:tbl>
    <w:p>
      <w:pPr>
        <w:sectPr>
          <w:pgSz w:w="11900" w:h="16838" w:orient="portrait"/>
          <w:cols w:equalWidth="0" w:num="1">
            <w:col w:w="11240"/>
          </w:cols>
          <w:pgMar w:left="320" w:top="923" w:right="339" w:bottom="1440" w:gutter="0" w:footer="0" w:header="0"/>
        </w:sectPr>
      </w:pPr>
    </w:p>
    <w:bookmarkStart w:id="4" w:name="page5"/>
    <w:bookmarkEnd w:id="4"/>
    <w:p>
      <w:pPr>
        <w:ind w:left="2520" w:hanging="827"/>
        <w:spacing w:after="0" w:line="230" w:lineRule="exact"/>
        <w:tabs>
          <w:tab w:leader="none" w:pos="252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180" w:hanging="1347"/>
        <w:spacing w:after="0" w:line="250" w:lineRule="exact"/>
        <w:tabs>
          <w:tab w:leader="none" w:pos="2518"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ind w:left="2560" w:hanging="867"/>
        <w:spacing w:after="0"/>
        <w:tabs>
          <w:tab w:leader="none" w:pos="2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ý</w:t>
      </w:r>
      <w:r>
        <w:rPr>
          <w:rFonts w:ascii="Times New Roman" w:cs="Times New Roman" w:eastAsia="Times New Roman" w:hAnsi="Times New Roman"/>
          <w:sz w:val="19"/>
          <w:szCs w:val="19"/>
          <w:color w:val="auto"/>
        </w:rPr>
        <w:t>Investment adviser in accordance with Rule 13d-1(b)(1)(ii)(E);</w:t>
      </w:r>
    </w:p>
    <w:p>
      <w:pPr>
        <w:spacing w:after="0" w:line="175" w:lineRule="exact"/>
        <w:rPr>
          <w:rFonts w:ascii="Times New Roman" w:cs="Times New Roman" w:eastAsia="Times New Roman" w:hAnsi="Times New Roman"/>
          <w:sz w:val="20"/>
          <w:szCs w:val="20"/>
          <w:color w:val="auto"/>
        </w:rPr>
      </w:pPr>
    </w:p>
    <w:p>
      <w:pPr>
        <w:ind w:left="2520" w:hanging="827"/>
        <w:spacing w:after="0" w:line="230" w:lineRule="exact"/>
        <w:tabs>
          <w:tab w:leader="none" w:pos="252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Rule 13d-1(b)(1)(ii)(F);</w:t>
      </w:r>
    </w:p>
    <w:p>
      <w:pPr>
        <w:spacing w:after="0" w:line="207" w:lineRule="exact"/>
        <w:rPr>
          <w:sz w:val="20"/>
          <w:szCs w:val="20"/>
          <w:color w:val="auto"/>
        </w:rPr>
      </w:pPr>
    </w:p>
    <w:p>
      <w:pPr>
        <w:ind w:left="3040" w:right="3220" w:hanging="1347"/>
        <w:spacing w:after="0" w:line="250" w:lineRule="auto"/>
        <w:tabs>
          <w:tab w:leader="none" w:pos="255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ýParent holding company or control person in accordance with Rule 13d-1(b)(1)(ii)(G);</w:t>
      </w:r>
    </w:p>
    <w:p>
      <w:pPr>
        <w:spacing w:after="0" w:line="1" w:lineRule="exact"/>
        <w:rPr>
          <w:rFonts w:ascii="Times New Roman" w:cs="Times New Roman" w:eastAsia="Times New Roman" w:hAnsi="Times New Roman"/>
          <w:sz w:val="20"/>
          <w:szCs w:val="20"/>
          <w:color w:val="auto"/>
        </w:rPr>
      </w:pPr>
    </w:p>
    <w:p>
      <w:pPr>
        <w:ind w:left="3040" w:right="600" w:hanging="1347"/>
        <w:spacing w:after="0" w:line="233" w:lineRule="exact"/>
        <w:tabs>
          <w:tab w:leader="none" w:pos="2518"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182" w:lineRule="exact"/>
        <w:rPr>
          <w:rFonts w:ascii="Times New Roman" w:cs="Times New Roman" w:eastAsia="Times New Roman" w:hAnsi="Times New Roman"/>
          <w:sz w:val="20"/>
          <w:szCs w:val="20"/>
          <w:color w:val="auto"/>
        </w:rPr>
      </w:pPr>
    </w:p>
    <w:p>
      <w:pPr>
        <w:ind w:left="3040" w:right="300" w:hanging="1347"/>
        <w:spacing w:after="0" w:line="253" w:lineRule="exact"/>
        <w:tabs>
          <w:tab w:leader="none" w:pos="2518"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20" w:hanging="827"/>
        <w:spacing w:after="0" w:line="230" w:lineRule="exact"/>
        <w:tabs>
          <w:tab w:leader="none" w:pos="252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20" w:hanging="827"/>
        <w:spacing w:after="0" w:line="230" w:lineRule="exact"/>
        <w:tabs>
          <w:tab w:leader="none" w:pos="252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63" w:lineRule="exact"/>
        <w:rPr>
          <w:sz w:val="20"/>
          <w:szCs w:val="20"/>
          <w:color w:val="auto"/>
        </w:rPr>
      </w:pPr>
    </w:p>
    <w:p>
      <w:pPr>
        <w:ind w:left="5980" w:right="2800" w:hanging="4278"/>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-85725</wp:posOffset>
            </wp:positionV>
            <wp:extent cx="27171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2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600" w:right="1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such Reporting Person.</w:t>
      </w:r>
    </w:p>
    <w:p>
      <w:pPr>
        <w:spacing w:after="0" w:line="173" w:lineRule="exact"/>
        <w:rPr>
          <w:sz w:val="20"/>
          <w:szCs w:val="20"/>
          <w:color w:val="auto"/>
        </w:rPr>
      </w:pPr>
    </w:p>
    <w:p>
      <w:pPr>
        <w:ind w:left="1600" w:right="140"/>
        <w:spacing w:after="0" w:line="269" w:lineRule="auto"/>
        <w:rPr>
          <w:sz w:val="20"/>
          <w:szCs w:val="20"/>
          <w:color w:val="auto"/>
        </w:rPr>
      </w:pPr>
      <w:r>
        <w:rPr>
          <w:rFonts w:ascii="Times New Roman" w:cs="Times New Roman" w:eastAsia="Times New Roman" w:hAnsi="Times New Roman"/>
          <w:sz w:val="20"/>
          <w:szCs w:val="20"/>
          <w:color w:val="auto"/>
        </w:rPr>
        <w:t>The percentages set forth in Row (11) of the cover page for each Reporting Person and elsewhere in this Schedule 13G are based on 20,000,000 Class A Ordinary Shares outstanding.</w:t>
      </w:r>
    </w:p>
    <w:p>
      <w:pPr>
        <w:spacing w:after="0" w:line="16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600" w:right="500"/>
        <w:spacing w:after="0" w:line="269" w:lineRule="auto"/>
        <w:rPr>
          <w:sz w:val="20"/>
          <w:szCs w:val="20"/>
          <w:color w:val="auto"/>
        </w:rPr>
      </w:pPr>
      <w:r>
        <w:rPr>
          <w:rFonts w:ascii="Times New Roman" w:cs="Times New Roman" w:eastAsia="Times New Roman" w:hAnsi="Times New Roman"/>
          <w:sz w:val="20"/>
          <w:szCs w:val="20"/>
          <w:color w:val="auto"/>
        </w:rPr>
        <w:t>See Item 2. Glazer Enhanced Offshore Fund, Ltd, a Glazer Fund, has the right to receive or the power to direct the receipt of the proceeds from the sale of more than 5% of the Shares.</w:t>
      </w:r>
    </w:p>
    <w:p>
      <w:pPr>
        <w:spacing w:after="0" w:line="169" w:lineRule="exact"/>
        <w:rPr>
          <w:sz w:val="20"/>
          <w:szCs w:val="20"/>
          <w:color w:val="auto"/>
        </w:rPr>
      </w:pPr>
    </w:p>
    <w:p>
      <w:pPr>
        <w:ind w:left="1600" w:hanging="1589"/>
        <w:spacing w:after="0" w:line="273" w:lineRule="auto"/>
        <w:tabs>
          <w:tab w:leader="none" w:pos="15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66" w:lineRule="auto"/>
        <w:rPr>
          <w:sz w:val="20"/>
          <w:szCs w:val="20"/>
          <w:color w:val="auto"/>
        </w:rPr>
      </w:pPr>
      <w:r>
        <w:rPr>
          <w:rFonts w:ascii="Times New Roman" w:cs="Times New Roman" w:eastAsia="Times New Roman" w:hAnsi="Times New Roman"/>
          <w:sz w:val="19"/>
          <w:szCs w:val="19"/>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27" w:right="4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its or his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GLAZER CAPITAL,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423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Paul J. Glazer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PAUL J. GLAZER</w:t>
      </w:r>
    </w:p>
    <w:sectPr>
      <w:pgSz w:w="11900" w:h="16838" w:orient="portrait"/>
      <w:cols w:equalWidth="0" w:num="1">
        <w:col w:w="11240"/>
      </w:cols>
      <w:pgMar w:left="320" w:top="6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ý"/>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2020-11-10T15:27:40Z</dcterms:created>
  <dcterms:modified xsi:type="dcterms:W3CDTF">2020-11-10T15:27:40Z</dcterms:modified>
</cp:coreProperties>
</file>