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Heystee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TREAT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Ouster, Inc.</w:t>
              </w:r>
            </w:hyperlink>
            <w:r>
              <w:rPr/>
              <w:t xml:space="preserve"> [ </w:t>
            </w:r>
            <w:r>
              <w:rPr>
                <w:rFonts w:ascii="Times;serif" w:hAnsi="Times;serif"/>
                <w:color w:val="0000FF"/>
                <w:sz w:val="24"/>
                <w:shd w:fill="FFFFFF" w:val="clear"/>
              </w:rPr>
              <w:t>OUST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810"/>
        <w:gridCol w:w="459"/>
        <w:gridCol w:w="756"/>
        <w:gridCol w:w="1202"/>
        <w:gridCol w:w="1003"/>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779</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44.12</w:t>
            </w:r>
          </w:p>
        </w:tc>
        <w:tc>
          <w:tcPr>
            <w:tcW w:w="12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41,257.7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received in lieu of cash fees pursuant to the Company's Third Amended and Restated Non-Employee Director Compensation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Chung, as Attorney-in-Fact for Susan Heystee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sans-serif" w:hAnsi="sans-serif"/>
          <w:b/>
          <w:color w:val="000000"/>
          <w:sz w:val="24"/>
        </w:rPr>
      </w:pPr>
      <w:bookmarkStart w:id="2" w:name="oust-ex24.htm"/>
      <w:bookmarkStart w:id="3" w:name="ksoustex24"/>
      <w:bookmarkEnd w:id="2"/>
      <w:bookmarkEnd w:id="3"/>
      <w:r>
        <w:rPr>
          <w:rFonts w:ascii="sans-serif" w:hAnsi="sans-serif"/>
          <w:b/>
          <w:color w:val="000000"/>
          <w:sz w:val="24"/>
        </w:rPr>
        <w:t>Exhibit 24</w:t>
      </w:r>
      <w:r>
        <w:br w:type="page"/>
      </w:r>
    </w:p>
    <w:p>
      <w:pPr>
        <w:pStyle w:val="TextBody"/>
        <w:bidi w:val="0"/>
        <w:jc w:val="left"/>
        <w:rPr/>
      </w:pPr>
      <w:r>
        <w:rPr/>
        <w:t> </w:t>
      </w:r>
    </w:p>
    <w:p>
      <w:pPr>
        <w:pStyle w:val="TextBody"/>
        <w:bidi w:val="0"/>
        <w:jc w:val="center"/>
        <w:rPr>
          <w:rFonts w:ascii="sans-serif" w:hAnsi="sans-serif"/>
          <w:b/>
          <w:color w:val="000000"/>
          <w:sz w:val="22"/>
        </w:rPr>
      </w:pPr>
      <w:r>
        <w:rPr>
          <w:rFonts w:ascii="sans-serif" w:hAnsi="sans-serif"/>
          <w:b/>
          <w:color w:val="000000"/>
          <w:sz w:val="22"/>
        </w:rPr>
        <w:t>POWER OF ATTORNEY</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With respect to holdings of and transactions in securities issued by Ouster,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1.</w:t>
      </w:r>
    </w:p>
    <w:p>
      <w:pPr>
        <w:pStyle w:val="TextBody"/>
        <w:bidi w:val="0"/>
        <w:jc w:val="both"/>
        <w:rPr>
          <w:rFonts w:ascii="sans-serif" w:hAnsi="sans-serif"/>
          <w:color w:val="000000"/>
          <w:sz w:val="22"/>
        </w:rPr>
      </w:pPr>
      <w:r>
        <w:rPr>
          <w:rFonts w:ascii="sans-serif" w:hAnsi="sans-serif"/>
          <w:color w:val="000000"/>
          <w:sz w:val="22"/>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2.</w:t>
      </w:r>
    </w:p>
    <w:p>
      <w:pPr>
        <w:pStyle w:val="TextBody"/>
        <w:bidi w:val="0"/>
        <w:jc w:val="both"/>
        <w:rPr>
          <w:rFonts w:ascii="sans-serif" w:hAnsi="sans-serif"/>
          <w:color w:val="000000"/>
          <w:sz w:val="22"/>
        </w:rPr>
      </w:pPr>
      <w:r>
        <w:rPr>
          <w:rFonts w:ascii="sans-serif" w:hAnsi="sans-serif"/>
          <w:color w:val="000000"/>
          <w:sz w:val="22"/>
        </w:rPr>
        <w:t xml:space="preserve">execute for and on behalf of the undersigned, Forms 3, 4, and 5 in accordance with Section 16 of the Securities Exchange Act of 1934, as amended, and the rules thereunder;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3.</w:t>
      </w:r>
    </w:p>
    <w:p>
      <w:pPr>
        <w:pStyle w:val="TextBody"/>
        <w:bidi w:val="0"/>
        <w:jc w:val="both"/>
        <w:rPr>
          <w:rFonts w:ascii="sans-serif" w:hAnsi="sans-serif"/>
          <w:color w:val="000000"/>
          <w:sz w:val="22"/>
        </w:rPr>
      </w:pPr>
      <w:r>
        <w:rPr>
          <w:rFonts w:ascii="sans-serif" w:hAnsi="sans-serif"/>
          <w:color w:val="000000"/>
          <w:sz w:val="22"/>
        </w:rPr>
        <w:t xml:space="preserve">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w:t>
      </w:r>
    </w:p>
    <w:p>
      <w:pPr>
        <w:pStyle w:val="TextBody"/>
        <w:bidi w:val="0"/>
        <w:jc w:val="both"/>
        <w:rPr/>
      </w:pPr>
      <w:r>
        <w:rPr/>
        <w:t> </w:t>
      </w:r>
    </w:p>
    <w:p>
      <w:pPr>
        <w:pStyle w:val="TextBody"/>
        <w:bidi w:val="0"/>
        <w:spacing w:before="0" w:after="0"/>
        <w:jc w:val="both"/>
        <w:rPr>
          <w:rFonts w:ascii="sans-serif" w:hAnsi="sans-serif"/>
          <w:color w:val="000000"/>
          <w:sz w:val="22"/>
        </w:rPr>
      </w:pPr>
      <w:r>
        <w:rPr>
          <w:rFonts w:ascii="sans-serif" w:hAnsi="sans-serif"/>
          <w:color w:val="000000"/>
          <w:sz w:val="22"/>
        </w:rPr>
        <w:t>4.</w:t>
      </w:r>
    </w:p>
    <w:p>
      <w:pPr>
        <w:pStyle w:val="TextBody"/>
        <w:bidi w:val="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The undersigned acknowledges that the foregoing attorneys-in-fact, in serving in such capacity at the request of the undersigned, are not assuming, nor is any Company assuming, any of the undersigned's responsibilities to comply with Section 16 of the Securities Exchange Act of 1934, as amended. </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 xml:space="preserve">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lineRule="auto" w:line="360"/>
        <w:jc w:val="both"/>
        <w:rPr>
          <w:rFonts w:ascii="sans-serif" w:hAnsi="sans-serif"/>
          <w:sz w:val="15"/>
        </w:rPr>
      </w:pPr>
      <w:r>
        <w:rPr>
          <w:rFonts w:ascii="sans-serif" w:hAnsi="sans-serif"/>
          <w:color w:val="000000"/>
          <w:sz w:val="22"/>
        </w:rPr>
        <w:t>IN WITNESS WHEREOF, the undersigned has caused this Power of Attorney to be executed as of this 10</w:t>
      </w:r>
      <w:r>
        <w:rPr>
          <w:rFonts w:ascii="sans-serif" w:hAnsi="sans-serif"/>
          <w:color w:val="000000"/>
          <w:sz w:val="15"/>
        </w:rPr>
        <w:t xml:space="preserve">th </w:t>
      </w:r>
      <w:r>
        <w:rPr>
          <w:rFonts w:ascii="sans-serif" w:hAnsi="sans-serif"/>
          <w:color w:val="000000"/>
          <w:sz w:val="22"/>
        </w:rPr>
        <w:t>day of December, 2020.</w:t>
      </w:r>
    </w:p>
    <w:p>
      <w:pPr>
        <w:pStyle w:val="TextBody"/>
        <w:bidi w:val="0"/>
        <w:jc w:val="both"/>
        <w:rPr/>
      </w:pPr>
      <w:r>
        <w:rPr/>
        <w:t> </w:t>
      </w:r>
    </w:p>
    <w:p>
      <w:pPr>
        <w:pStyle w:val="TextBody"/>
        <w:bidi w:val="0"/>
        <w:jc w:val="both"/>
        <w:rPr/>
      </w:pPr>
      <w:r>
        <w:rPr/>
        <w:t> </w:t>
      </w:r>
    </w:p>
    <w:tbl>
      <w:tblPr>
        <w:tblW w:w="2817" w:type="dxa"/>
        <w:jc w:val="left"/>
        <w:tblInd w:w="0" w:type="dxa"/>
        <w:tblLayout w:type="fixed"/>
        <w:tblCellMar>
          <w:top w:w="28" w:type="dxa"/>
          <w:left w:w="28" w:type="dxa"/>
          <w:bottom w:w="28" w:type="dxa"/>
          <w:right w:w="28" w:type="dxa"/>
        </w:tblCellMar>
      </w:tblPr>
      <w:tblGrid>
        <w:gridCol w:w="161"/>
        <w:gridCol w:w="2656"/>
      </w:tblGrid>
      <w:tr>
        <w:trPr/>
        <w:tc>
          <w:tcPr>
            <w:tcW w:w="161"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2"/>
              </w:rPr>
            </w:pPr>
            <w:r>
              <w:rPr>
                <w:rFonts w:ascii="Times New Roman" w:hAnsi="Times New Roman"/>
                <w:color w:val="000000"/>
                <w:sz w:val="22"/>
              </w:rPr>
              <w:t>By: /s/ Susan Heystee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65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Name: Susan Heystee</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sans-serif" w:hAnsi="sans-serif"/>
          <w:b/>
          <w:color w:val="000000"/>
          <w:sz w:val="22"/>
          <w:u w:val="single"/>
        </w:rPr>
      </w:pPr>
      <w:r>
        <w:rPr>
          <w:rFonts w:ascii="sans-serif" w:hAnsi="sans-serif"/>
          <w:b/>
          <w:color w:val="000000"/>
          <w:sz w:val="22"/>
          <w:u w:val="single"/>
        </w:rPr>
        <w:t>Schedule A</w:t>
      </w:r>
    </w:p>
    <w:p>
      <w:pPr>
        <w:pStyle w:val="TextBody"/>
        <w:bidi w:val="0"/>
        <w:jc w:val="center"/>
        <w:rPr/>
      </w:pPr>
      <w:r>
        <w:rPr/>
        <w:t> </w:t>
      </w:r>
    </w:p>
    <w:p>
      <w:pPr>
        <w:pStyle w:val="TextBody"/>
        <w:bidi w:val="0"/>
        <w:jc w:val="center"/>
        <w:rPr>
          <w:rFonts w:ascii="sans-serif" w:hAnsi="sans-serif"/>
          <w:b/>
          <w:color w:val="000000"/>
          <w:sz w:val="22"/>
        </w:rPr>
      </w:pPr>
      <w:r>
        <w:rPr>
          <w:rFonts w:ascii="sans-serif" w:hAnsi="sans-serif"/>
          <w:b/>
          <w:color w:val="000000"/>
          <w:sz w:val="22"/>
        </w:rPr>
        <w:t>INDIVIDUALS APPOINTED AS ATTORNEY-IN-FACT,</w:t>
      </w:r>
    </w:p>
    <w:p>
      <w:pPr>
        <w:pStyle w:val="TextBody"/>
        <w:bidi w:val="0"/>
        <w:jc w:val="center"/>
        <w:rPr>
          <w:rFonts w:ascii="sans-serif" w:hAnsi="sans-serif"/>
          <w:b/>
          <w:color w:val="000000"/>
          <w:sz w:val="22"/>
        </w:rPr>
      </w:pPr>
      <w:r>
        <w:rPr>
          <w:rFonts w:ascii="sans-serif" w:hAnsi="sans-serif"/>
          <w:b/>
          <w:color w:val="000000"/>
          <w:sz w:val="22"/>
        </w:rPr>
        <w:t>WITH FULL POWER OF SUBSTITUTION AND RESUBSTITUTION</w:t>
      </w:r>
    </w:p>
    <w:p>
      <w:pPr>
        <w:pStyle w:val="TextBody"/>
        <w:bidi w:val="0"/>
        <w:jc w:val="center"/>
        <w:rPr/>
      </w:pPr>
      <w:r>
        <w:rPr/>
        <w:t> </w:t>
      </w:r>
    </w:p>
    <w:p>
      <w:pPr>
        <w:pStyle w:val="TextBody"/>
        <w:bidi w:val="0"/>
        <w:jc w:val="center"/>
        <w:rPr/>
      </w:pPr>
      <w:r>
        <w:rPr/>
        <w:t> </w:t>
      </w:r>
    </w:p>
    <w:p>
      <w:pPr>
        <w:pStyle w:val="TextBody"/>
        <w:bidi w:val="0"/>
        <w:spacing w:before="0" w:after="0"/>
        <w:jc w:val="left"/>
        <w:rPr>
          <w:rFonts w:ascii="sans-serif" w:hAnsi="sans-serif"/>
          <w:color w:val="000000"/>
          <w:sz w:val="22"/>
        </w:rPr>
      </w:pPr>
      <w:r>
        <w:rPr>
          <w:rFonts w:ascii="sans-serif" w:hAnsi="sans-serif"/>
          <w:color w:val="000000"/>
          <w:sz w:val="22"/>
        </w:rPr>
        <w:t>1.</w:t>
      </w:r>
    </w:p>
    <w:p>
      <w:pPr>
        <w:pStyle w:val="TextBody"/>
        <w:bidi w:val="0"/>
        <w:spacing w:before="0" w:after="0"/>
        <w:jc w:val="left"/>
        <w:rPr>
          <w:rFonts w:ascii="sans-serif" w:hAnsi="sans-serif"/>
          <w:color w:val="000000"/>
          <w:sz w:val="22"/>
        </w:rPr>
      </w:pPr>
      <w:r>
        <w:rPr>
          <w:rFonts w:ascii="sans-serif" w:hAnsi="sans-serif"/>
          <w:color w:val="000000"/>
          <w:sz w:val="22"/>
        </w:rPr>
        <w:t>Megan Chung, General Counsel and Secretary</w:t>
      </w:r>
    </w:p>
    <w:p>
      <w:pPr>
        <w:pStyle w:val="TextBody"/>
        <w:bidi w:val="0"/>
        <w:spacing w:before="0" w:after="0"/>
        <w:jc w:val="left"/>
        <w:rPr>
          <w:rFonts w:ascii="sans-serif" w:hAnsi="sans-serif"/>
          <w:color w:val="000000"/>
          <w:sz w:val="22"/>
        </w:rPr>
      </w:pPr>
      <w:r>
        <w:rPr>
          <w:rFonts w:ascii="sans-serif" w:hAnsi="sans-serif"/>
          <w:color w:val="000000"/>
          <w:sz w:val="22"/>
        </w:rPr>
        <w:t>2.</w:t>
      </w:r>
    </w:p>
    <w:p>
      <w:pPr>
        <w:pStyle w:val="TextBody"/>
        <w:bidi w:val="0"/>
        <w:spacing w:before="0" w:after="0"/>
        <w:jc w:val="left"/>
        <w:rPr>
          <w:rFonts w:ascii="sans-serif" w:hAnsi="sans-serif"/>
          <w:color w:val="000000"/>
          <w:sz w:val="22"/>
        </w:rPr>
      </w:pPr>
      <w:r>
        <w:rPr>
          <w:rFonts w:ascii="sans-serif" w:hAnsi="sans-serif"/>
          <w:color w:val="000000"/>
          <w:sz w:val="22"/>
        </w:rPr>
        <w:t>Gayle McKenzie, Deputy General Counsel</w:t>
      </w:r>
    </w:p>
    <w:p>
      <w:pPr>
        <w:pStyle w:val="TextBody"/>
        <w:bidi w:val="0"/>
        <w:spacing w:before="0" w:after="0"/>
        <w:jc w:val="left"/>
        <w:rPr>
          <w:rFonts w:ascii="sans-serif" w:hAnsi="sans-serif"/>
          <w:color w:val="000000"/>
          <w:sz w:val="22"/>
        </w:rPr>
      </w:pPr>
      <w:r>
        <w:rPr>
          <w:rFonts w:ascii="sans-serif" w:hAnsi="sans-serif"/>
          <w:color w:val="000000"/>
          <w:sz w:val="22"/>
        </w:rPr>
        <w:t>3.</w:t>
      </w:r>
    </w:p>
    <w:p>
      <w:pPr>
        <w:pStyle w:val="TextBody"/>
        <w:bidi w:val="0"/>
        <w:jc w:val="left"/>
        <w:rPr>
          <w:rFonts w:ascii="sans-serif" w:hAnsi="sans-serif"/>
          <w:color w:val="000000"/>
          <w:sz w:val="22"/>
        </w:rPr>
      </w:pPr>
      <w:r>
        <w:rPr>
          <w:rFonts w:ascii="sans-serif" w:hAnsi="sans-serif"/>
          <w:color w:val="000000"/>
          <w:sz w:val="22"/>
        </w:rPr>
        <w:t xml:space="preserve">Kenneth P. Gianella, Chief Financial Officer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330" TargetMode="External"/><Relationship Id="rId5" Type="http://schemas.openxmlformats.org/officeDocument/2006/relationships/hyperlink" Target="http://www.sec.gov/cgi-bin/browse-edgar?action=getcompany&amp;CIK=00018165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1172</Words>
  <Characters>6234</Characters>
  <CharactersWithSpaces>7342</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